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1B" w:rsidRDefault="00CF301B" w:rsidP="00CF301B">
      <w:pPr>
        <w:jc w:val="center"/>
        <w:rPr>
          <w:rFonts w:ascii="Copperplate Gothic Bold" w:hAnsi="Copperplate Gothic Bold"/>
        </w:rPr>
      </w:pPr>
      <w:bookmarkStart w:id="0" w:name="_GoBack"/>
      <w:bookmarkEnd w:id="0"/>
      <w:r>
        <w:rPr>
          <w:rFonts w:ascii="Copperplate Gothic Bold" w:hAnsi="Copperplate Gothic Bold"/>
        </w:rPr>
        <w:t>“THE FIRST SEVEN YEARS” DOUBLE ENTRY JOURNAL ASSIGNMENT”</w:t>
      </w:r>
    </w:p>
    <w:p w:rsidR="00CF301B" w:rsidRPr="00F5222D" w:rsidRDefault="00CF301B" w:rsidP="00CF301B">
      <w:pPr>
        <w:rPr>
          <w:b/>
          <w:u w:val="single"/>
        </w:rPr>
      </w:pPr>
      <w:r w:rsidRPr="00F5222D">
        <w:rPr>
          <w:b/>
          <w:u w:val="single"/>
        </w:rPr>
        <w:t>Instructions:</w:t>
      </w:r>
    </w:p>
    <w:p w:rsidR="00CF301B" w:rsidRDefault="00CF301B" w:rsidP="00CF301B">
      <w:pPr>
        <w:numPr>
          <w:ilvl w:val="0"/>
          <w:numId w:val="1"/>
        </w:numPr>
        <w:spacing w:after="0" w:line="240" w:lineRule="auto"/>
        <w:rPr>
          <w:b/>
        </w:rPr>
      </w:pPr>
      <w:r>
        <w:t xml:space="preserve">You are to keep a Double-Entry Journal during our reading of Bernard Malamud’s “The First Seven Years.”  The length of your responses is not as important as the depth of thought and expression in your responses.  Each entry will count based on a 4 point rubric.  (Please see the attached rubric.)  Your final collection of DEJ will be due on </w:t>
      </w:r>
      <w:r>
        <w:rPr>
          <w:b/>
        </w:rPr>
        <w:t>WEDNESDAY</w:t>
      </w:r>
      <w:r w:rsidRPr="009705C6">
        <w:rPr>
          <w:b/>
        </w:rPr>
        <w:t>,</w:t>
      </w:r>
      <w:r>
        <w:rPr>
          <w:b/>
        </w:rPr>
        <w:t xml:space="preserve"> DECEMBER 11</w:t>
      </w:r>
      <w:r w:rsidRPr="009705C6">
        <w:rPr>
          <w:b/>
        </w:rPr>
        <w:t xml:space="preserve">.  </w:t>
      </w:r>
      <w:r>
        <w:rPr>
          <w:b/>
        </w:rPr>
        <w:t>You will have to have FIVE entries for Part III of “The First Seven Years.”</w:t>
      </w:r>
    </w:p>
    <w:p w:rsidR="00B354BA" w:rsidRDefault="00B354BA" w:rsidP="00B354BA">
      <w:pPr>
        <w:spacing w:after="0" w:line="240" w:lineRule="auto"/>
        <w:rPr>
          <w:b/>
        </w:rPr>
      </w:pPr>
    </w:p>
    <w:p w:rsidR="00B354BA" w:rsidRDefault="00B354BA" w:rsidP="00B354BA">
      <w:pPr>
        <w:spacing w:after="0" w:line="240" w:lineRule="auto"/>
        <w:rPr>
          <w:b/>
        </w:rPr>
      </w:pPr>
    </w:p>
    <w:tbl>
      <w:tblPr>
        <w:tblStyle w:val="TableGrid"/>
        <w:tblW w:w="0" w:type="auto"/>
        <w:tblLook w:val="04A0" w:firstRow="1" w:lastRow="0" w:firstColumn="1" w:lastColumn="0" w:noHBand="0" w:noVBand="1"/>
      </w:tblPr>
      <w:tblGrid>
        <w:gridCol w:w="1116"/>
        <w:gridCol w:w="4568"/>
        <w:gridCol w:w="5106"/>
      </w:tblGrid>
      <w:tr w:rsidR="00B354BA" w:rsidTr="00EB7598">
        <w:tc>
          <w:tcPr>
            <w:tcW w:w="10790" w:type="dxa"/>
            <w:gridSpan w:val="3"/>
          </w:tcPr>
          <w:p w:rsidR="00B354BA" w:rsidRDefault="00B354BA" w:rsidP="00B354BA">
            <w:pPr>
              <w:jc w:val="center"/>
              <w:rPr>
                <w:b/>
              </w:rPr>
            </w:pPr>
            <w:r>
              <w:rPr>
                <w:b/>
              </w:rPr>
              <w:t>TITLE &amp; A</w:t>
            </w:r>
            <w:r w:rsidR="00CF301B">
              <w:rPr>
                <w:b/>
              </w:rPr>
              <w:t>UTHOR: “THE FIRST SEVEN YEARS” PART III (</w:t>
            </w:r>
            <w:proofErr w:type="spellStart"/>
            <w:r w:rsidR="00CF301B">
              <w:rPr>
                <w:b/>
              </w:rPr>
              <w:t>pgs</w:t>
            </w:r>
            <w:proofErr w:type="spellEnd"/>
            <w:r w:rsidR="00CF301B">
              <w:rPr>
                <w:b/>
              </w:rPr>
              <w:t xml:space="preserve"> 125 – 127)</w:t>
            </w:r>
          </w:p>
        </w:tc>
      </w:tr>
      <w:tr w:rsidR="00B354BA" w:rsidTr="00B354BA">
        <w:tc>
          <w:tcPr>
            <w:tcW w:w="1075" w:type="dxa"/>
          </w:tcPr>
          <w:p w:rsidR="00B354BA" w:rsidRDefault="00B354BA" w:rsidP="00B354BA">
            <w:pPr>
              <w:jc w:val="center"/>
              <w:rPr>
                <w:b/>
              </w:rPr>
            </w:pPr>
            <w:r>
              <w:rPr>
                <w:b/>
              </w:rPr>
              <w:t>PAGE</w:t>
            </w:r>
          </w:p>
        </w:tc>
        <w:tc>
          <w:tcPr>
            <w:tcW w:w="4590" w:type="dxa"/>
          </w:tcPr>
          <w:p w:rsidR="00B354BA" w:rsidRDefault="00B354BA" w:rsidP="00B354BA">
            <w:pPr>
              <w:jc w:val="center"/>
              <w:rPr>
                <w:b/>
              </w:rPr>
            </w:pPr>
            <w:r>
              <w:rPr>
                <w:b/>
              </w:rPr>
              <w:t>Quotations (direct or paraphrase)</w:t>
            </w:r>
          </w:p>
        </w:tc>
        <w:tc>
          <w:tcPr>
            <w:tcW w:w="5125" w:type="dxa"/>
          </w:tcPr>
          <w:p w:rsidR="00B354BA" w:rsidRDefault="00B354BA" w:rsidP="00B354BA">
            <w:pPr>
              <w:jc w:val="center"/>
              <w:rPr>
                <w:b/>
              </w:rPr>
            </w:pPr>
            <w:r>
              <w:rPr>
                <w:b/>
              </w:rPr>
              <w:t>Commentary/Analysis</w:t>
            </w:r>
          </w:p>
        </w:tc>
      </w:tr>
      <w:tr w:rsidR="00B354BA" w:rsidTr="00B354BA">
        <w:tc>
          <w:tcPr>
            <w:tcW w:w="1075" w:type="dxa"/>
          </w:tcPr>
          <w:p w:rsidR="00B354BA" w:rsidRDefault="00B354BA" w:rsidP="00B354BA">
            <w:pPr>
              <w:jc w:val="center"/>
              <w:rPr>
                <w:b/>
              </w:rPr>
            </w:pPr>
          </w:p>
          <w:p w:rsidR="00B354BA" w:rsidRDefault="00284F9C" w:rsidP="00B354BA">
            <w:pPr>
              <w:jc w:val="center"/>
              <w:rPr>
                <w:b/>
              </w:rPr>
            </w:pPr>
            <w:r>
              <w:rPr>
                <w:b/>
              </w:rPr>
              <w:t>PART II</w:t>
            </w:r>
            <w:r w:rsidR="00CF301B">
              <w:rPr>
                <w:b/>
              </w:rPr>
              <w:t>I</w:t>
            </w:r>
          </w:p>
          <w:p w:rsidR="00B354BA" w:rsidRDefault="00CF301B" w:rsidP="00CF301B">
            <w:pPr>
              <w:jc w:val="center"/>
              <w:rPr>
                <w:b/>
              </w:rPr>
            </w:pPr>
            <w:r>
              <w:rPr>
                <w:b/>
              </w:rPr>
              <w:t>125 (column two – beginning w/ “Though the attack was very mild…”)</w:t>
            </w:r>
          </w:p>
        </w:tc>
        <w:tc>
          <w:tcPr>
            <w:tcW w:w="4590" w:type="dxa"/>
          </w:tcPr>
          <w:p w:rsidR="00B354BA" w:rsidRDefault="00B354BA" w:rsidP="00077824">
            <w:pPr>
              <w:rPr>
                <w:b/>
              </w:rPr>
            </w:pPr>
          </w:p>
          <w:p w:rsidR="00077824" w:rsidRDefault="00077824" w:rsidP="00077824">
            <w:pPr>
              <w:rPr>
                <w:b/>
              </w:rPr>
            </w:pPr>
          </w:p>
          <w:p w:rsidR="00077824" w:rsidRDefault="00077824" w:rsidP="00077824">
            <w:pP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jc w:val="center"/>
              <w:rPr>
                <w:b/>
              </w:rPr>
            </w:pPr>
          </w:p>
          <w:p w:rsidR="00B354BA" w:rsidRDefault="00B354BA" w:rsidP="00077824">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CF301B" w:rsidP="00B354BA">
            <w:pPr>
              <w:jc w:val="center"/>
              <w:rPr>
                <w:b/>
              </w:rPr>
            </w:pPr>
            <w:r>
              <w:rPr>
                <w:b/>
              </w:rPr>
              <w:t>126</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CF301B" w:rsidP="00B354BA">
            <w:pPr>
              <w:jc w:val="center"/>
              <w:rPr>
                <w:b/>
              </w:rPr>
            </w:pPr>
            <w:r>
              <w:rPr>
                <w:b/>
              </w:rPr>
              <w:t>126</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077824" w:rsidRDefault="00077824" w:rsidP="00B354BA">
            <w:pPr>
              <w:jc w:val="center"/>
              <w:rPr>
                <w:b/>
              </w:rPr>
            </w:pPr>
          </w:p>
          <w:p w:rsidR="004211A2" w:rsidRDefault="004211A2" w:rsidP="00B354BA">
            <w:pPr>
              <w:jc w:val="center"/>
              <w:rPr>
                <w:b/>
              </w:rPr>
            </w:pPr>
          </w:p>
          <w:p w:rsidR="00CF301B" w:rsidRDefault="00CF301B" w:rsidP="00B354BA">
            <w:pPr>
              <w:jc w:val="cente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CF301B" w:rsidP="00B354BA">
            <w:pPr>
              <w:jc w:val="center"/>
              <w:rPr>
                <w:b/>
              </w:rPr>
            </w:pPr>
            <w:r>
              <w:rPr>
                <w:b/>
              </w:rPr>
              <w:t>127</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tc>
        <w:tc>
          <w:tcPr>
            <w:tcW w:w="5125" w:type="dxa"/>
          </w:tcPr>
          <w:p w:rsidR="00B354BA" w:rsidRDefault="00B354BA" w:rsidP="00B354BA">
            <w:pPr>
              <w:jc w:val="center"/>
              <w:rPr>
                <w:b/>
              </w:rPr>
            </w:pPr>
          </w:p>
        </w:tc>
      </w:tr>
      <w:tr w:rsidR="00284F9C" w:rsidTr="00B354BA">
        <w:tc>
          <w:tcPr>
            <w:tcW w:w="1075" w:type="dxa"/>
          </w:tcPr>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CF301B" w:rsidP="00B354BA">
            <w:pPr>
              <w:jc w:val="center"/>
              <w:rPr>
                <w:b/>
              </w:rPr>
            </w:pPr>
            <w:r>
              <w:rPr>
                <w:b/>
              </w:rPr>
              <w:t>127</w:t>
            </w:r>
          </w:p>
        </w:tc>
        <w:tc>
          <w:tcPr>
            <w:tcW w:w="4590" w:type="dxa"/>
          </w:tcPr>
          <w:p w:rsidR="00284F9C" w:rsidRDefault="00284F9C" w:rsidP="00B354BA">
            <w:pPr>
              <w:jc w:val="center"/>
              <w:rPr>
                <w:b/>
              </w:rPr>
            </w:pPr>
          </w:p>
        </w:tc>
        <w:tc>
          <w:tcPr>
            <w:tcW w:w="5125" w:type="dxa"/>
          </w:tcPr>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p w:rsidR="00284F9C" w:rsidRDefault="00284F9C" w:rsidP="00B354BA">
            <w:pPr>
              <w:jc w:val="center"/>
              <w:rPr>
                <w:b/>
              </w:rPr>
            </w:pPr>
          </w:p>
        </w:tc>
      </w:tr>
    </w:tbl>
    <w:p w:rsidR="00B354BA" w:rsidRPr="009705C6" w:rsidRDefault="00B354BA" w:rsidP="00B354BA">
      <w:pPr>
        <w:spacing w:after="0" w:line="240" w:lineRule="auto"/>
        <w:rPr>
          <w:b/>
        </w:rPr>
      </w:pPr>
    </w:p>
    <w:p w:rsidR="00F223B9" w:rsidRDefault="00370E24" w:rsidP="00B354BA">
      <w:pPr>
        <w:rPr>
          <w:rFonts w:ascii="Copperplate Gothic Bold" w:hAnsi="Copperplate Gothic Bold"/>
        </w:rPr>
      </w:pPr>
      <w:r>
        <w:rPr>
          <w:rFonts w:ascii="Copperplate Gothic Bold" w:hAnsi="Copperplate Gothic Bold"/>
        </w:rPr>
        <w:pict>
          <v:rect id="_x0000_i1026" style="width:0;height:1.5pt" o:hralign="center" o:hrstd="t" o:hr="t" fillcolor="#a0a0a0" stroked="f"/>
        </w:pict>
      </w:r>
    </w:p>
    <w:tbl>
      <w:tblPr>
        <w:tblStyle w:val="TableGrid"/>
        <w:tblW w:w="0" w:type="auto"/>
        <w:tblLook w:val="04A0" w:firstRow="1" w:lastRow="0" w:firstColumn="1" w:lastColumn="0" w:noHBand="0" w:noVBand="1"/>
      </w:tblPr>
      <w:tblGrid>
        <w:gridCol w:w="2158"/>
        <w:gridCol w:w="2158"/>
        <w:gridCol w:w="2158"/>
        <w:gridCol w:w="2158"/>
        <w:gridCol w:w="2158"/>
      </w:tblGrid>
      <w:tr w:rsidR="00F223B9" w:rsidRPr="00F223B9" w:rsidTr="00CF5759">
        <w:tc>
          <w:tcPr>
            <w:tcW w:w="2158" w:type="dxa"/>
          </w:tcPr>
          <w:p w:rsidR="00F223B9" w:rsidRPr="00F223B9" w:rsidRDefault="00F223B9" w:rsidP="00CF5759">
            <w:pPr>
              <w:jc w:val="center"/>
              <w:rPr>
                <w:rFonts w:ascii="Calibri" w:hAnsi="Calibri" w:cs="Calibri"/>
                <w:b/>
                <w:sz w:val="16"/>
                <w:szCs w:val="16"/>
              </w:rPr>
            </w:pP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4</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Exceeds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3</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2</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Partially 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1/0</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Does not meet expectations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Quality of responses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Default="00F223B9" w:rsidP="00CF5759">
            <w:pPr>
              <w:jc w:val="center"/>
              <w:rPr>
                <w:rFonts w:ascii="Calibri" w:hAnsi="Calibri" w:cs="Calibri"/>
                <w:b/>
                <w:sz w:val="16"/>
                <w:szCs w:val="16"/>
              </w:rPr>
            </w:pPr>
            <w:r w:rsidRPr="00F223B9">
              <w:rPr>
                <w:rFonts w:ascii="Calibri" w:hAnsi="Calibri" w:cs="Calibri"/>
                <w:b/>
                <w:sz w:val="16"/>
                <w:szCs w:val="16"/>
              </w:rPr>
              <w:t>Quantity of Responses</w:t>
            </w:r>
            <w:r w:rsidR="00D10BD9">
              <w:rPr>
                <w:rFonts w:ascii="Calibri" w:hAnsi="Calibri" w:cs="Calibri"/>
                <w:b/>
                <w:sz w:val="16"/>
                <w:szCs w:val="16"/>
              </w:rPr>
              <w:t>;</w:t>
            </w:r>
          </w:p>
          <w:p w:rsidR="00D10BD9" w:rsidRPr="00F223B9" w:rsidRDefault="00D10BD9" w:rsidP="00CF5759">
            <w:pPr>
              <w:jc w:val="center"/>
              <w:rPr>
                <w:rFonts w:ascii="Calibri" w:hAnsi="Calibri" w:cs="Calibri"/>
                <w:b/>
                <w:sz w:val="16"/>
                <w:szCs w:val="16"/>
              </w:rPr>
            </w:pPr>
            <w:r>
              <w:rPr>
                <w:rFonts w:ascii="Calibri" w:hAnsi="Calibri" w:cs="Calibri"/>
                <w:b/>
                <w:sz w:val="16"/>
                <w:szCs w:val="16"/>
              </w:rPr>
              <w:t>Legibility</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required number of relevant quotations or passages (on the left side of the double-entry journal) accompanied by student responses to the recorded passages (on the right side of the double-entry journal).</w:t>
            </w:r>
            <w:r w:rsidR="00D10BD9">
              <w:t xml:space="preserve"> </w:t>
            </w:r>
            <w:r w:rsidR="00D10BD9" w:rsidRPr="00D10BD9">
              <w:rPr>
                <w:sz w:val="16"/>
                <w:szCs w:val="16"/>
              </w:rPr>
              <w:t>Legible handwriting or printing</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less than the required relevant quotations or passages (on the left side of the double-entry journal) accompanied by student responses to the recorded passages (on the right side of the double-entry journal).</w:t>
            </w:r>
            <w:r w:rsidR="00D10BD9">
              <w:rPr>
                <w:rFonts w:ascii="Calibri" w:hAnsi="Calibri" w:cs="Calibri"/>
                <w:sz w:val="16"/>
                <w:szCs w:val="16"/>
              </w:rPr>
              <w:t xml:space="preserve"> </w:t>
            </w:r>
            <w:r w:rsidR="00D10BD9" w:rsidRPr="00D10BD9">
              <w:rPr>
                <w:sz w:val="16"/>
                <w:szCs w:val="16"/>
              </w:rPr>
              <w:t>Marginally legible handwriting or printing</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Includes less than half of the required quotations or passages (on the left side of the double-entry journal) accompanied by student responses to the recorded passages (on the right side of the double-entry journal).</w:t>
            </w:r>
          </w:p>
          <w:p w:rsidR="00D10BD9" w:rsidRPr="00D10BD9" w:rsidRDefault="00D10BD9" w:rsidP="00CF5759">
            <w:pPr>
              <w:rPr>
                <w:rFonts w:ascii="Calibri" w:hAnsi="Calibri" w:cs="Calibri"/>
                <w:sz w:val="16"/>
                <w:szCs w:val="16"/>
              </w:rPr>
            </w:pPr>
            <w:r w:rsidRPr="00D10BD9">
              <w:rPr>
                <w:sz w:val="16"/>
                <w:szCs w:val="16"/>
              </w:rPr>
              <w:t>Writing is not legible in places.</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 no quotations or passages (on the left side of the double-entry journal) accompanied by little to no student responses to the recorded passages (on the right side of the double-entry journal).</w:t>
            </w:r>
          </w:p>
          <w:p w:rsidR="00D10BD9" w:rsidRPr="00D10BD9" w:rsidRDefault="00D10BD9" w:rsidP="00CF5759">
            <w:pPr>
              <w:rPr>
                <w:rFonts w:ascii="Calibri" w:hAnsi="Calibri" w:cs="Calibri"/>
                <w:b/>
                <w:sz w:val="16"/>
                <w:szCs w:val="16"/>
              </w:rPr>
            </w:pPr>
            <w:r w:rsidRPr="00D10BD9">
              <w:rPr>
                <w:b/>
                <w:sz w:val="16"/>
                <w:szCs w:val="16"/>
              </w:rPr>
              <w:t>Writing is not legible; therefore, no credit for the entire entry.</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Relevancy of Quotes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quotes are thorough, thoughtful, and insightfully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Most quotes chosen are fairly thorough and adequately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quotes are incomplete or irrelevant.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Many quotes are disjointed, incomplete, or irrelevant.</w:t>
            </w:r>
          </w:p>
        </w:tc>
      </w:tr>
    </w:tbl>
    <w:p w:rsidR="00F223B9" w:rsidRDefault="00F223B9" w:rsidP="00B354BA">
      <w:pPr>
        <w:rPr>
          <w:rFonts w:ascii="Copperplate Gothic Bold" w:hAnsi="Copperplate Gothic Bold"/>
        </w:rPr>
      </w:pPr>
    </w:p>
    <w:p w:rsidR="00F223B9" w:rsidRDefault="00F223B9" w:rsidP="00F223B9">
      <w:pPr>
        <w:ind w:left="6480"/>
        <w:rPr>
          <w:rFonts w:ascii="Copperplate Gothic Bold" w:hAnsi="Copperplate Gothic Bold"/>
          <w:sz w:val="16"/>
          <w:szCs w:val="16"/>
        </w:rPr>
      </w:pPr>
      <w:r w:rsidRPr="00F223B9">
        <w:rPr>
          <w:rFonts w:ascii="Copperplate Gothic Bold" w:hAnsi="Copperplate Gothic Bold"/>
          <w:sz w:val="16"/>
          <w:szCs w:val="16"/>
        </w:rPr>
        <w:t>YOUR SCORE ______ /3 = _______ OUT OF 4</w:t>
      </w:r>
    </w:p>
    <w:p w:rsidR="00284F9C" w:rsidRDefault="00284F9C" w:rsidP="00284F9C">
      <w:pPr>
        <w:pStyle w:val="ListParagraph"/>
        <w:numPr>
          <w:ilvl w:val="0"/>
          <w:numId w:val="3"/>
        </w:numPr>
        <w:rPr>
          <w:rFonts w:ascii="Cambria" w:hAnsi="Cambria"/>
          <w:sz w:val="16"/>
          <w:szCs w:val="16"/>
        </w:rPr>
      </w:pPr>
      <w:proofErr w:type="spellStart"/>
      <w:r w:rsidRPr="004211A2">
        <w:rPr>
          <w:rFonts w:ascii="Cambria" w:hAnsi="Cambria"/>
          <w:b/>
          <w:sz w:val="16"/>
          <w:szCs w:val="16"/>
        </w:rPr>
        <w:t>P</w:t>
      </w:r>
      <w:r>
        <w:rPr>
          <w:rFonts w:ascii="Cambria" w:hAnsi="Cambria"/>
          <w:b/>
          <w:sz w:val="16"/>
          <w:szCs w:val="16"/>
        </w:rPr>
        <w:t>P</w:t>
      </w:r>
      <w:r w:rsidRPr="004211A2">
        <w:rPr>
          <w:rFonts w:ascii="Cambria" w:hAnsi="Cambria"/>
          <w:b/>
          <w:sz w:val="16"/>
          <w:szCs w:val="16"/>
        </w:rPr>
        <w:t>eters</w:t>
      </w:r>
      <w:proofErr w:type="spellEnd"/>
      <w:r w:rsidRPr="004211A2">
        <w:rPr>
          <w:rFonts w:ascii="Cambria" w:hAnsi="Cambria"/>
          <w:b/>
          <w:sz w:val="16"/>
          <w:szCs w:val="16"/>
        </w:rPr>
        <w:t xml:space="preserve">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284F9C" w:rsidRPr="00284F9C" w:rsidRDefault="00284F9C" w:rsidP="00284F9C">
      <w:pPr>
        <w:rPr>
          <w:rFonts w:ascii="Cambria" w:hAnsi="Cambria"/>
          <w:sz w:val="16"/>
          <w:szCs w:val="16"/>
        </w:rPr>
      </w:pPr>
    </w:p>
    <w:p w:rsidR="00284F9C" w:rsidRPr="00284F9C" w:rsidRDefault="00284F9C" w:rsidP="00284F9C">
      <w:pPr>
        <w:rPr>
          <w:rFonts w:cstheme="minorHAnsi"/>
        </w:rPr>
      </w:pPr>
      <w:r>
        <w:rPr>
          <w:rFonts w:cstheme="minorHAnsi"/>
        </w:rPr>
        <w:lastRenderedPageBreak/>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Period:</w:t>
      </w:r>
    </w:p>
    <w:p w:rsidR="00284F9C" w:rsidRDefault="00284F9C" w:rsidP="00284F9C">
      <w:pPr>
        <w:rPr>
          <w:rFonts w:ascii="Copperplate Gothic Bold" w:hAnsi="Copperplate Gothic Bold"/>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11182</wp:posOffset>
            </wp:positionV>
            <wp:extent cx="603250" cy="603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 Gothic Bold" w:hAnsi="Copperplate Gothic Bold"/>
        </w:rPr>
        <w:t>“THE BET” EXIT QUESTION:</w:t>
      </w:r>
    </w:p>
    <w:p w:rsidR="00284F9C" w:rsidRDefault="00284F9C" w:rsidP="00284F9C">
      <w:pPr>
        <w:rPr>
          <w:rFonts w:asciiTheme="majorHAnsi" w:hAnsiTheme="majorHAnsi" w:cstheme="majorHAnsi"/>
          <w:b/>
          <w:sz w:val="20"/>
          <w:szCs w:val="20"/>
        </w:rPr>
      </w:pPr>
      <w:r w:rsidRPr="00284F9C">
        <w:rPr>
          <w:rFonts w:asciiTheme="majorHAnsi" w:hAnsiTheme="majorHAnsi" w:cstheme="majorHAnsi"/>
          <w:b/>
          <w:sz w:val="20"/>
          <w:szCs w:val="20"/>
        </w:rPr>
        <w:t>Looking back, the banker believes he took the bet on “the caprice of a pampered man.” How does he feel about himself at the end of the fifteen years? What do you think this reveals about Chekhov’s view of what is important to life?</w:t>
      </w:r>
    </w:p>
    <w:p w:rsidR="00284F9C" w:rsidRPr="00284F9C" w:rsidRDefault="00284F9C" w:rsidP="00284F9C">
      <w:pPr>
        <w:spacing w:line="276" w:lineRule="auto"/>
        <w:rPr>
          <w:rFonts w:asciiTheme="majorHAnsi" w:hAnsiTheme="majorHAnsi" w:cstheme="majorHAnsi"/>
          <w:b/>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3B9" w:rsidRDefault="00F223B9" w:rsidP="00B354BA">
      <w:pPr>
        <w:rPr>
          <w:rFonts w:ascii="Copperplate Gothic Bold" w:hAnsi="Copperplate Gothic Bold"/>
        </w:rPr>
      </w:pPr>
    </w:p>
    <w:p w:rsidR="006E19E6" w:rsidRDefault="006E19E6" w:rsidP="00284F9C">
      <w:pPr>
        <w:rPr>
          <w:rFonts w:cstheme="minorHAnsi"/>
        </w:rPr>
      </w:pPr>
    </w:p>
    <w:p w:rsidR="006E19E6" w:rsidRDefault="006E19E6" w:rsidP="00284F9C">
      <w:pPr>
        <w:rPr>
          <w:rFonts w:cstheme="minorHAnsi"/>
        </w:rPr>
      </w:pPr>
    </w:p>
    <w:p w:rsidR="006E19E6" w:rsidRDefault="006E19E6" w:rsidP="00284F9C">
      <w:pPr>
        <w:rPr>
          <w:rFonts w:cstheme="minorHAnsi"/>
        </w:rPr>
      </w:pPr>
    </w:p>
    <w:p w:rsidR="006E19E6" w:rsidRDefault="006E19E6" w:rsidP="00284F9C">
      <w:pPr>
        <w:rPr>
          <w:rFonts w:cstheme="minorHAnsi"/>
        </w:rPr>
      </w:pPr>
    </w:p>
    <w:p w:rsidR="00284F9C" w:rsidRPr="00284F9C" w:rsidRDefault="00284F9C" w:rsidP="00284F9C">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Period:</w:t>
      </w:r>
    </w:p>
    <w:p w:rsidR="00284F9C" w:rsidRDefault="00284F9C" w:rsidP="00284F9C">
      <w:pPr>
        <w:rPr>
          <w:rFonts w:ascii="Copperplate Gothic Bold" w:hAnsi="Copperplate Gothic Bold"/>
        </w:rPr>
      </w:pPr>
      <w:r>
        <w:rPr>
          <w:noProof/>
        </w:rPr>
        <w:drawing>
          <wp:anchor distT="0" distB="0" distL="114300" distR="114300" simplePos="0" relativeHeight="251660288" behindDoc="0" locked="0" layoutInCell="1" allowOverlap="1" wp14:anchorId="18059BB7" wp14:editId="2A3383DD">
            <wp:simplePos x="0" y="0"/>
            <wp:positionH relativeFrom="margin">
              <wp:align>left</wp:align>
            </wp:positionH>
            <wp:positionV relativeFrom="paragraph">
              <wp:posOffset>11182</wp:posOffset>
            </wp:positionV>
            <wp:extent cx="603250" cy="6032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 Gothic Bold" w:hAnsi="Copperplate Gothic Bold"/>
        </w:rPr>
        <w:t>“THE BET” EXIT QUESTION:</w:t>
      </w:r>
    </w:p>
    <w:p w:rsidR="00284F9C" w:rsidRDefault="00284F9C" w:rsidP="00284F9C">
      <w:pPr>
        <w:rPr>
          <w:rFonts w:asciiTheme="majorHAnsi" w:hAnsiTheme="majorHAnsi" w:cstheme="majorHAnsi"/>
          <w:b/>
          <w:sz w:val="20"/>
          <w:szCs w:val="20"/>
        </w:rPr>
      </w:pPr>
      <w:r w:rsidRPr="00284F9C">
        <w:rPr>
          <w:rFonts w:asciiTheme="majorHAnsi" w:hAnsiTheme="majorHAnsi" w:cstheme="majorHAnsi"/>
          <w:b/>
          <w:sz w:val="20"/>
          <w:szCs w:val="20"/>
        </w:rPr>
        <w:t>Looking back, the banker believes he took the bet on “the caprice of a pampered man.” How does he feel about himself at the end of the fifteen years? What do you think this reveals about Chekhov’s view of what is important to life?</w:t>
      </w:r>
    </w:p>
    <w:p w:rsidR="00284F9C" w:rsidRPr="00284F9C" w:rsidRDefault="00284F9C" w:rsidP="00284F9C">
      <w:pPr>
        <w:spacing w:line="276" w:lineRule="auto"/>
        <w:rPr>
          <w:rFonts w:asciiTheme="majorHAnsi" w:hAnsiTheme="majorHAnsi" w:cstheme="majorHAnsi"/>
          <w:b/>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4BA" w:rsidRPr="00B354BA" w:rsidRDefault="00B354BA" w:rsidP="00B354BA">
      <w:pPr>
        <w:rPr>
          <w:rFonts w:ascii="Copperplate Gothic Bold" w:hAnsi="Copperplate Gothic Bold"/>
        </w:rPr>
      </w:pPr>
    </w:p>
    <w:sectPr w:rsidR="00B354BA" w:rsidRPr="00B354BA" w:rsidSect="004211A2">
      <w:headerReference w:type="default" r:id="rId8"/>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BA" w:rsidRDefault="00B354BA" w:rsidP="00B354BA">
      <w:pPr>
        <w:spacing w:after="0" w:line="240" w:lineRule="auto"/>
      </w:pPr>
      <w:r>
        <w:separator/>
      </w:r>
    </w:p>
  </w:endnote>
  <w:endnote w:type="continuationSeparator" w:id="0">
    <w:p w:rsidR="00B354BA" w:rsidRDefault="00B354BA" w:rsidP="00B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BA" w:rsidRDefault="00B354BA" w:rsidP="00B354BA">
      <w:pPr>
        <w:spacing w:after="0" w:line="240" w:lineRule="auto"/>
      </w:pPr>
      <w:r>
        <w:separator/>
      </w:r>
    </w:p>
  </w:footnote>
  <w:footnote w:type="continuationSeparator" w:id="0">
    <w:p w:rsidR="00B354BA" w:rsidRDefault="00B354BA" w:rsidP="00B3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A" w:rsidRDefault="00B354BA">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5E9F"/>
    <w:multiLevelType w:val="hybridMultilevel"/>
    <w:tmpl w:val="2A708950"/>
    <w:lvl w:ilvl="0" w:tplc="0409000F">
      <w:start w:val="1"/>
      <w:numFmt w:val="decimal"/>
      <w:lvlText w:val="%1."/>
      <w:lvlJc w:val="left"/>
      <w:pPr>
        <w:ind w:left="720" w:hanging="360"/>
      </w:pPr>
      <w:rPr>
        <w:rFonts w:hint="default"/>
      </w:rPr>
    </w:lvl>
    <w:lvl w:ilvl="1" w:tplc="4C0CEFE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258D0"/>
    <w:multiLevelType w:val="hybridMultilevel"/>
    <w:tmpl w:val="C86A3F0E"/>
    <w:lvl w:ilvl="0" w:tplc="81ECE0D4">
      <w:start w:val="1"/>
      <w:numFmt w:val="bullet"/>
      <w:lvlText w:val=""/>
      <w:lvlPicBulletId w:val="0"/>
      <w:lvlJc w:val="left"/>
      <w:pPr>
        <w:tabs>
          <w:tab w:val="num" w:pos="720"/>
        </w:tabs>
        <w:ind w:left="720" w:hanging="360"/>
      </w:pPr>
      <w:rPr>
        <w:rFonts w:ascii="Symbol" w:hAnsi="Symbol" w:hint="default"/>
      </w:rPr>
    </w:lvl>
    <w:lvl w:ilvl="1" w:tplc="D4BA81F2" w:tentative="1">
      <w:start w:val="1"/>
      <w:numFmt w:val="bullet"/>
      <w:lvlText w:val=""/>
      <w:lvlJc w:val="left"/>
      <w:pPr>
        <w:tabs>
          <w:tab w:val="num" w:pos="1440"/>
        </w:tabs>
        <w:ind w:left="1440" w:hanging="360"/>
      </w:pPr>
      <w:rPr>
        <w:rFonts w:ascii="Symbol" w:hAnsi="Symbol" w:hint="default"/>
      </w:rPr>
    </w:lvl>
    <w:lvl w:ilvl="2" w:tplc="B11AB37A" w:tentative="1">
      <w:start w:val="1"/>
      <w:numFmt w:val="bullet"/>
      <w:lvlText w:val=""/>
      <w:lvlJc w:val="left"/>
      <w:pPr>
        <w:tabs>
          <w:tab w:val="num" w:pos="2160"/>
        </w:tabs>
        <w:ind w:left="2160" w:hanging="360"/>
      </w:pPr>
      <w:rPr>
        <w:rFonts w:ascii="Symbol" w:hAnsi="Symbol" w:hint="default"/>
      </w:rPr>
    </w:lvl>
    <w:lvl w:ilvl="3" w:tplc="ED00AFE4" w:tentative="1">
      <w:start w:val="1"/>
      <w:numFmt w:val="bullet"/>
      <w:lvlText w:val=""/>
      <w:lvlJc w:val="left"/>
      <w:pPr>
        <w:tabs>
          <w:tab w:val="num" w:pos="2880"/>
        </w:tabs>
        <w:ind w:left="2880" w:hanging="360"/>
      </w:pPr>
      <w:rPr>
        <w:rFonts w:ascii="Symbol" w:hAnsi="Symbol" w:hint="default"/>
      </w:rPr>
    </w:lvl>
    <w:lvl w:ilvl="4" w:tplc="326CBD76" w:tentative="1">
      <w:start w:val="1"/>
      <w:numFmt w:val="bullet"/>
      <w:lvlText w:val=""/>
      <w:lvlJc w:val="left"/>
      <w:pPr>
        <w:tabs>
          <w:tab w:val="num" w:pos="3600"/>
        </w:tabs>
        <w:ind w:left="3600" w:hanging="360"/>
      </w:pPr>
      <w:rPr>
        <w:rFonts w:ascii="Symbol" w:hAnsi="Symbol" w:hint="default"/>
      </w:rPr>
    </w:lvl>
    <w:lvl w:ilvl="5" w:tplc="07D8439E" w:tentative="1">
      <w:start w:val="1"/>
      <w:numFmt w:val="bullet"/>
      <w:lvlText w:val=""/>
      <w:lvlJc w:val="left"/>
      <w:pPr>
        <w:tabs>
          <w:tab w:val="num" w:pos="4320"/>
        </w:tabs>
        <w:ind w:left="4320" w:hanging="360"/>
      </w:pPr>
      <w:rPr>
        <w:rFonts w:ascii="Symbol" w:hAnsi="Symbol" w:hint="default"/>
      </w:rPr>
    </w:lvl>
    <w:lvl w:ilvl="6" w:tplc="4F98FEA2" w:tentative="1">
      <w:start w:val="1"/>
      <w:numFmt w:val="bullet"/>
      <w:lvlText w:val=""/>
      <w:lvlJc w:val="left"/>
      <w:pPr>
        <w:tabs>
          <w:tab w:val="num" w:pos="5040"/>
        </w:tabs>
        <w:ind w:left="5040" w:hanging="360"/>
      </w:pPr>
      <w:rPr>
        <w:rFonts w:ascii="Symbol" w:hAnsi="Symbol" w:hint="default"/>
      </w:rPr>
    </w:lvl>
    <w:lvl w:ilvl="7" w:tplc="2F6838B8" w:tentative="1">
      <w:start w:val="1"/>
      <w:numFmt w:val="bullet"/>
      <w:lvlText w:val=""/>
      <w:lvlJc w:val="left"/>
      <w:pPr>
        <w:tabs>
          <w:tab w:val="num" w:pos="5760"/>
        </w:tabs>
        <w:ind w:left="5760" w:hanging="360"/>
      </w:pPr>
      <w:rPr>
        <w:rFonts w:ascii="Symbol" w:hAnsi="Symbol" w:hint="default"/>
      </w:rPr>
    </w:lvl>
    <w:lvl w:ilvl="8" w:tplc="6040F7A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A"/>
    <w:rsid w:val="00077824"/>
    <w:rsid w:val="00284F9C"/>
    <w:rsid w:val="0030369E"/>
    <w:rsid w:val="00336D8C"/>
    <w:rsid w:val="00370E24"/>
    <w:rsid w:val="003E6971"/>
    <w:rsid w:val="004205E7"/>
    <w:rsid w:val="004211A2"/>
    <w:rsid w:val="00574649"/>
    <w:rsid w:val="006E19E6"/>
    <w:rsid w:val="00B354BA"/>
    <w:rsid w:val="00B86A0D"/>
    <w:rsid w:val="00CF301B"/>
    <w:rsid w:val="00D10BD9"/>
    <w:rsid w:val="00F223B9"/>
    <w:rsid w:val="00F6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452120-50E4-458B-868E-C2FBEBD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BA"/>
  </w:style>
  <w:style w:type="paragraph" w:styleId="Footer">
    <w:name w:val="footer"/>
    <w:basedOn w:val="Normal"/>
    <w:link w:val="FooterChar"/>
    <w:uiPriority w:val="99"/>
    <w:unhideWhenUsed/>
    <w:rsid w:val="00B3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BA"/>
  </w:style>
  <w:style w:type="table" w:styleId="TableGrid">
    <w:name w:val="Table Grid"/>
    <w:basedOn w:val="TableNormal"/>
    <w:rsid w:val="00B3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A2"/>
    <w:pPr>
      <w:spacing w:line="300" w:lineRule="auto"/>
      <w:ind w:left="720"/>
      <w:contextualSpacing/>
    </w:pPr>
    <w:rPr>
      <w:rFonts w:eastAsiaTheme="minorEastAsia"/>
      <w:sz w:val="21"/>
      <w:szCs w:val="21"/>
    </w:rPr>
  </w:style>
  <w:style w:type="paragraph" w:styleId="BalloonText">
    <w:name w:val="Balloon Text"/>
    <w:basedOn w:val="Normal"/>
    <w:link w:val="BalloonTextChar"/>
    <w:uiPriority w:val="99"/>
    <w:semiHidden/>
    <w:unhideWhenUsed/>
    <w:rsid w:val="00CF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2019-12-10T15:19:00Z</cp:lastPrinted>
  <dcterms:created xsi:type="dcterms:W3CDTF">2019-12-13T17:28:00Z</dcterms:created>
  <dcterms:modified xsi:type="dcterms:W3CDTF">2019-12-13T17:28:00Z</dcterms:modified>
</cp:coreProperties>
</file>