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D5" w:rsidRDefault="007467CF" w:rsidP="00B354BA">
      <w:pPr>
        <w:jc w:val="center"/>
        <w:rPr>
          <w:rFonts w:ascii="Copperplate Gothic Bold" w:hAnsi="Copperplate Gothic Bold"/>
        </w:rPr>
      </w:pPr>
      <w:r>
        <w:rPr>
          <w:rFonts w:ascii="Copperplate Gothic Bold" w:hAnsi="Copperplate Gothic Bold"/>
        </w:rPr>
        <w:t>“THE FIRST SEVEN YEARS</w:t>
      </w:r>
      <w:r w:rsidR="00B354BA">
        <w:rPr>
          <w:rFonts w:ascii="Copperplate Gothic Bold" w:hAnsi="Copperplate Gothic Bold"/>
        </w:rPr>
        <w:t>” DOUBLE ENTRY JOURNAL ASSIGNMENT</w:t>
      </w:r>
    </w:p>
    <w:p w:rsidR="00B354BA" w:rsidRPr="00F5222D" w:rsidRDefault="00B354BA" w:rsidP="00B354BA">
      <w:pPr>
        <w:rPr>
          <w:b/>
          <w:u w:val="single"/>
        </w:rPr>
      </w:pPr>
      <w:r w:rsidRPr="00F5222D">
        <w:rPr>
          <w:b/>
          <w:u w:val="single"/>
        </w:rPr>
        <w:t>Instructions:</w:t>
      </w:r>
    </w:p>
    <w:p w:rsidR="00B354BA" w:rsidRDefault="00B354BA" w:rsidP="00B354BA">
      <w:pPr>
        <w:numPr>
          <w:ilvl w:val="0"/>
          <w:numId w:val="1"/>
        </w:numPr>
        <w:spacing w:after="0" w:line="240" w:lineRule="auto"/>
        <w:rPr>
          <w:b/>
        </w:rPr>
      </w:pPr>
      <w:r>
        <w:t xml:space="preserve">You are to keep a Double-Entry </w:t>
      </w:r>
      <w:r w:rsidR="00F223B9">
        <w:t xml:space="preserve">Journal during </w:t>
      </w:r>
      <w:r>
        <w:t xml:space="preserve">our reading </w:t>
      </w:r>
      <w:r w:rsidR="00123AB0">
        <w:t>of Bernard Malamud’s</w:t>
      </w:r>
      <w:r w:rsidR="00F223B9">
        <w:t xml:space="preserve"> </w:t>
      </w:r>
      <w:r w:rsidR="00123AB0">
        <w:t>“The First Seven Years</w:t>
      </w:r>
      <w:bookmarkStart w:id="0" w:name="_GoBack"/>
      <w:bookmarkEnd w:id="0"/>
      <w:r>
        <w:t xml:space="preserve">.”  The length of your responses is not as important as the depth of thought and expression in your responses.  Each entry will count based on a 4 point rubric.  (Please see the attached rubric.)  Your first collection of DEJ will be due on </w:t>
      </w:r>
      <w:r w:rsidR="007467CF">
        <w:rPr>
          <w:b/>
        </w:rPr>
        <w:t>MONDAY</w:t>
      </w:r>
      <w:r w:rsidRPr="009705C6">
        <w:rPr>
          <w:b/>
        </w:rPr>
        <w:t>,</w:t>
      </w:r>
      <w:r w:rsidR="007467CF">
        <w:rPr>
          <w:b/>
        </w:rPr>
        <w:t xml:space="preserve"> DECEMBER 09</w:t>
      </w:r>
      <w:r w:rsidRPr="009705C6">
        <w:rPr>
          <w:b/>
        </w:rPr>
        <w:t>.  You will have to have FOUR</w:t>
      </w:r>
      <w:r w:rsidR="007467CF">
        <w:rPr>
          <w:b/>
        </w:rPr>
        <w:t xml:space="preserve"> entries for Part I of “The First Seven Years.”</w:t>
      </w:r>
    </w:p>
    <w:p w:rsidR="00B354BA" w:rsidRDefault="00B354BA" w:rsidP="00B354BA">
      <w:pPr>
        <w:spacing w:after="0" w:line="240" w:lineRule="auto"/>
        <w:rPr>
          <w:b/>
        </w:rPr>
      </w:pPr>
    </w:p>
    <w:p w:rsidR="00B354BA" w:rsidRDefault="00B354BA" w:rsidP="00B354BA">
      <w:pPr>
        <w:spacing w:after="0" w:line="240" w:lineRule="auto"/>
        <w:rPr>
          <w:b/>
        </w:rPr>
      </w:pPr>
    </w:p>
    <w:tbl>
      <w:tblPr>
        <w:tblStyle w:val="TableGrid"/>
        <w:tblW w:w="0" w:type="auto"/>
        <w:tblLook w:val="04A0" w:firstRow="1" w:lastRow="0" w:firstColumn="1" w:lastColumn="0" w:noHBand="0" w:noVBand="1"/>
      </w:tblPr>
      <w:tblGrid>
        <w:gridCol w:w="1075"/>
        <w:gridCol w:w="4590"/>
        <w:gridCol w:w="5125"/>
      </w:tblGrid>
      <w:tr w:rsidR="00B354BA" w:rsidTr="00EB7598">
        <w:tc>
          <w:tcPr>
            <w:tcW w:w="10790" w:type="dxa"/>
            <w:gridSpan w:val="3"/>
          </w:tcPr>
          <w:p w:rsidR="00B354BA" w:rsidRDefault="00B354BA" w:rsidP="00B354BA">
            <w:pPr>
              <w:jc w:val="center"/>
              <w:rPr>
                <w:b/>
              </w:rPr>
            </w:pPr>
            <w:r>
              <w:rPr>
                <w:b/>
              </w:rPr>
              <w:t>TITLE &amp; AU</w:t>
            </w:r>
            <w:r w:rsidR="007467CF">
              <w:rPr>
                <w:b/>
              </w:rPr>
              <w:t>THOR: “THE FIRST SEVEN YEARS” BY BERNARD MALAMUD (pgs. 120-122)</w:t>
            </w:r>
          </w:p>
        </w:tc>
      </w:tr>
      <w:tr w:rsidR="00B354BA" w:rsidTr="00B354BA">
        <w:tc>
          <w:tcPr>
            <w:tcW w:w="1075" w:type="dxa"/>
          </w:tcPr>
          <w:p w:rsidR="00B354BA" w:rsidRDefault="00B354BA" w:rsidP="00B354BA">
            <w:pPr>
              <w:jc w:val="center"/>
              <w:rPr>
                <w:b/>
              </w:rPr>
            </w:pPr>
            <w:r>
              <w:rPr>
                <w:b/>
              </w:rPr>
              <w:t>PAGE</w:t>
            </w:r>
          </w:p>
        </w:tc>
        <w:tc>
          <w:tcPr>
            <w:tcW w:w="4590" w:type="dxa"/>
          </w:tcPr>
          <w:p w:rsidR="00B354BA" w:rsidRDefault="00B354BA" w:rsidP="00B354BA">
            <w:pPr>
              <w:jc w:val="center"/>
              <w:rPr>
                <w:b/>
              </w:rPr>
            </w:pPr>
            <w:r>
              <w:rPr>
                <w:b/>
              </w:rPr>
              <w:t>Quotations (direct or paraphrase)</w:t>
            </w:r>
          </w:p>
        </w:tc>
        <w:tc>
          <w:tcPr>
            <w:tcW w:w="5125" w:type="dxa"/>
          </w:tcPr>
          <w:p w:rsidR="00B354BA" w:rsidRDefault="00B354BA" w:rsidP="00B354BA">
            <w:pPr>
              <w:jc w:val="center"/>
              <w:rPr>
                <w:b/>
              </w:rPr>
            </w:pPr>
            <w:r>
              <w:rPr>
                <w:b/>
              </w:rPr>
              <w:t>Commentary/Analysis</w:t>
            </w: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7467CF" w:rsidP="00B354BA">
            <w:pPr>
              <w:jc w:val="center"/>
              <w:rPr>
                <w:b/>
              </w:rPr>
            </w:pPr>
            <w:r>
              <w:rPr>
                <w:b/>
              </w:rPr>
              <w:t>120</w:t>
            </w:r>
          </w:p>
        </w:tc>
        <w:tc>
          <w:tcPr>
            <w:tcW w:w="4590" w:type="dxa"/>
          </w:tcPr>
          <w:p w:rsidR="00B354BA" w:rsidRDefault="00B354BA" w:rsidP="00077824">
            <w:pPr>
              <w:rPr>
                <w:b/>
              </w:rPr>
            </w:pPr>
          </w:p>
          <w:p w:rsidR="00077824" w:rsidRDefault="00077824" w:rsidP="00077824">
            <w:pPr>
              <w:rPr>
                <w:b/>
              </w:rPr>
            </w:pPr>
          </w:p>
          <w:p w:rsidR="00077824" w:rsidRDefault="00077824" w:rsidP="00077824">
            <w:pP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rPr>
                <w:b/>
              </w:rPr>
            </w:pPr>
          </w:p>
          <w:p w:rsidR="00B354BA" w:rsidRDefault="00B354BA" w:rsidP="00B354BA">
            <w:pPr>
              <w:jc w:val="center"/>
              <w:rPr>
                <w:b/>
              </w:rPr>
            </w:pPr>
          </w:p>
          <w:p w:rsidR="00B354BA" w:rsidRDefault="00B354BA" w:rsidP="00077824">
            <w:pPr>
              <w:rPr>
                <w:b/>
              </w:rPr>
            </w:pPr>
          </w:p>
        </w:tc>
        <w:tc>
          <w:tcPr>
            <w:tcW w:w="5125" w:type="dxa"/>
          </w:tcPr>
          <w:p w:rsidR="00B354BA" w:rsidRDefault="00B354BA" w:rsidP="00B354BA">
            <w:pPr>
              <w:jc w:val="center"/>
              <w:rPr>
                <w:b/>
              </w:rPr>
            </w:pP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7467CF" w:rsidP="00B354BA">
            <w:pPr>
              <w:jc w:val="center"/>
              <w:rPr>
                <w:b/>
              </w:rPr>
            </w:pPr>
            <w:r>
              <w:rPr>
                <w:b/>
              </w:rPr>
              <w:t>121</w:t>
            </w:r>
          </w:p>
        </w:tc>
        <w:tc>
          <w:tcPr>
            <w:tcW w:w="4590"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rPr>
                <w:b/>
              </w:rPr>
            </w:pPr>
          </w:p>
          <w:p w:rsidR="00B354BA" w:rsidRDefault="00B354BA" w:rsidP="00B354BA">
            <w:pPr>
              <w:rPr>
                <w:b/>
              </w:rPr>
            </w:pPr>
          </w:p>
          <w:p w:rsidR="00B354BA" w:rsidRDefault="00B354BA" w:rsidP="00B354BA">
            <w:pPr>
              <w:rPr>
                <w:b/>
              </w:rPr>
            </w:pPr>
          </w:p>
        </w:tc>
        <w:tc>
          <w:tcPr>
            <w:tcW w:w="5125" w:type="dxa"/>
          </w:tcPr>
          <w:p w:rsidR="00B354BA" w:rsidRDefault="00B354BA" w:rsidP="00B354BA">
            <w:pPr>
              <w:jc w:val="center"/>
              <w:rPr>
                <w:b/>
              </w:rPr>
            </w:pP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7467CF" w:rsidP="00B354BA">
            <w:pPr>
              <w:jc w:val="center"/>
              <w:rPr>
                <w:b/>
              </w:rPr>
            </w:pPr>
            <w:r>
              <w:rPr>
                <w:b/>
              </w:rPr>
              <w:t>121</w:t>
            </w:r>
          </w:p>
        </w:tc>
        <w:tc>
          <w:tcPr>
            <w:tcW w:w="4590"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077824" w:rsidRDefault="00077824" w:rsidP="00B354BA">
            <w:pPr>
              <w:jc w:val="center"/>
              <w:rPr>
                <w:b/>
              </w:rPr>
            </w:pPr>
          </w:p>
          <w:p w:rsidR="004211A2" w:rsidRDefault="004211A2" w:rsidP="00B354BA">
            <w:pPr>
              <w:jc w:val="center"/>
              <w:rPr>
                <w:b/>
              </w:rPr>
            </w:pPr>
          </w:p>
        </w:tc>
        <w:tc>
          <w:tcPr>
            <w:tcW w:w="5125" w:type="dxa"/>
          </w:tcPr>
          <w:p w:rsidR="00B354BA" w:rsidRDefault="00B354BA" w:rsidP="00B354BA">
            <w:pPr>
              <w:jc w:val="center"/>
              <w:rPr>
                <w:b/>
              </w:rPr>
            </w:pPr>
          </w:p>
        </w:tc>
      </w:tr>
      <w:tr w:rsidR="00B354BA" w:rsidTr="00B354BA">
        <w:tc>
          <w:tcPr>
            <w:tcW w:w="1075"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7467CF" w:rsidP="00B354BA">
            <w:pPr>
              <w:jc w:val="center"/>
              <w:rPr>
                <w:b/>
              </w:rPr>
            </w:pPr>
            <w:r>
              <w:rPr>
                <w:b/>
              </w:rPr>
              <w:t>122</w:t>
            </w:r>
          </w:p>
          <w:p w:rsidR="007467CF" w:rsidRDefault="007467CF" w:rsidP="00B354BA">
            <w:pPr>
              <w:jc w:val="center"/>
              <w:rPr>
                <w:b/>
              </w:rPr>
            </w:pPr>
            <w:r>
              <w:rPr>
                <w:b/>
              </w:rPr>
              <w:t>(column one)</w:t>
            </w:r>
          </w:p>
        </w:tc>
        <w:tc>
          <w:tcPr>
            <w:tcW w:w="4590" w:type="dxa"/>
          </w:tcPr>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p w:rsidR="00B354BA" w:rsidRDefault="00B354BA" w:rsidP="00B354BA">
            <w:pPr>
              <w:jc w:val="center"/>
              <w:rPr>
                <w:b/>
              </w:rPr>
            </w:pPr>
          </w:p>
        </w:tc>
        <w:tc>
          <w:tcPr>
            <w:tcW w:w="5125" w:type="dxa"/>
          </w:tcPr>
          <w:p w:rsidR="00B354BA" w:rsidRDefault="00B354BA" w:rsidP="00B354BA">
            <w:pPr>
              <w:jc w:val="center"/>
              <w:rPr>
                <w:b/>
              </w:rPr>
            </w:pPr>
          </w:p>
        </w:tc>
      </w:tr>
    </w:tbl>
    <w:p w:rsidR="00B354BA" w:rsidRPr="009705C6" w:rsidRDefault="00B354BA" w:rsidP="00B354BA">
      <w:pPr>
        <w:spacing w:after="0" w:line="240" w:lineRule="auto"/>
        <w:rPr>
          <w:b/>
        </w:rPr>
      </w:pPr>
    </w:p>
    <w:p w:rsidR="00F223B9" w:rsidRDefault="00123AB0" w:rsidP="00B354BA">
      <w:pPr>
        <w:rPr>
          <w:rFonts w:ascii="Copperplate Gothic Bold" w:hAnsi="Copperplate Gothic Bold"/>
        </w:rPr>
      </w:pPr>
      <w:r>
        <w:rPr>
          <w:rFonts w:ascii="Copperplate Gothic Bold" w:hAnsi="Copperplate Gothic Bold"/>
        </w:rPr>
        <w:pict>
          <v:rect id="_x0000_i1025" style="width:0;height:1.5pt" o:hralign="center" o:hrstd="t" o:hr="t" fillcolor="#a0a0a0" stroked="f"/>
        </w:pict>
      </w:r>
    </w:p>
    <w:tbl>
      <w:tblPr>
        <w:tblStyle w:val="TableGrid"/>
        <w:tblW w:w="0" w:type="auto"/>
        <w:tblLook w:val="04A0" w:firstRow="1" w:lastRow="0" w:firstColumn="1" w:lastColumn="0" w:noHBand="0" w:noVBand="1"/>
      </w:tblPr>
      <w:tblGrid>
        <w:gridCol w:w="2158"/>
        <w:gridCol w:w="2158"/>
        <w:gridCol w:w="2158"/>
        <w:gridCol w:w="2158"/>
        <w:gridCol w:w="2158"/>
      </w:tblGrid>
      <w:tr w:rsidR="00F223B9" w:rsidRPr="00F223B9" w:rsidTr="00CF5759">
        <w:tc>
          <w:tcPr>
            <w:tcW w:w="2158" w:type="dxa"/>
          </w:tcPr>
          <w:p w:rsidR="00F223B9" w:rsidRPr="00F223B9" w:rsidRDefault="00F223B9" w:rsidP="00CF5759">
            <w:pPr>
              <w:jc w:val="center"/>
              <w:rPr>
                <w:rFonts w:ascii="Calibri" w:hAnsi="Calibri" w:cs="Calibri"/>
                <w:b/>
                <w:sz w:val="16"/>
                <w:szCs w:val="16"/>
              </w:rPr>
            </w:pP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4</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Exceeds expectations</w:t>
            </w: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3</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Meets expectations</w:t>
            </w: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2</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Partially meets expectations</w:t>
            </w:r>
          </w:p>
        </w:tc>
        <w:tc>
          <w:tcPr>
            <w:tcW w:w="2158" w:type="dxa"/>
          </w:tcPr>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1/0</w:t>
            </w: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Does not meet expectations</w:t>
            </w:r>
          </w:p>
        </w:tc>
      </w:tr>
      <w:tr w:rsidR="00F223B9" w:rsidRPr="00F223B9" w:rsidTr="00CF5759">
        <w:tc>
          <w:tcPr>
            <w:tcW w:w="2158" w:type="dxa"/>
          </w:tcPr>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Quality of responses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All entries demonstrate deep insight into the text and do an exceptional job of explaining the student’s thoughts through the skillful selection of textual evidence and thoughtful analysis.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All entries demonstrate sufficient insight into the text and adequately explain the student’s thoughts through the selection of textual evidence and analysis.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Some entries demonstrate a lack of insight into the text and do not adequately explain the student’s thoughts.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No evidence of insights beyond simply identifying or restating the speaker and/or circumstances of the passages or quotes.</w:t>
            </w:r>
          </w:p>
        </w:tc>
      </w:tr>
      <w:tr w:rsidR="00F223B9" w:rsidRPr="00F223B9" w:rsidTr="00CF5759">
        <w:tc>
          <w:tcPr>
            <w:tcW w:w="2158" w:type="dxa"/>
          </w:tcPr>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p>
          <w:p w:rsidR="00F223B9" w:rsidRDefault="00F223B9" w:rsidP="00CF5759">
            <w:pPr>
              <w:jc w:val="center"/>
              <w:rPr>
                <w:rFonts w:ascii="Calibri" w:hAnsi="Calibri" w:cs="Calibri"/>
                <w:b/>
                <w:sz w:val="16"/>
                <w:szCs w:val="16"/>
              </w:rPr>
            </w:pPr>
            <w:r w:rsidRPr="00F223B9">
              <w:rPr>
                <w:rFonts w:ascii="Calibri" w:hAnsi="Calibri" w:cs="Calibri"/>
                <w:b/>
                <w:sz w:val="16"/>
                <w:szCs w:val="16"/>
              </w:rPr>
              <w:t>Quantity of Responses</w:t>
            </w:r>
            <w:r w:rsidR="00D10BD9">
              <w:rPr>
                <w:rFonts w:ascii="Calibri" w:hAnsi="Calibri" w:cs="Calibri"/>
                <w:b/>
                <w:sz w:val="16"/>
                <w:szCs w:val="16"/>
              </w:rPr>
              <w:t>;</w:t>
            </w:r>
          </w:p>
          <w:p w:rsidR="00D10BD9" w:rsidRPr="00F223B9" w:rsidRDefault="00D10BD9" w:rsidP="00CF5759">
            <w:pPr>
              <w:jc w:val="center"/>
              <w:rPr>
                <w:rFonts w:ascii="Calibri" w:hAnsi="Calibri" w:cs="Calibri"/>
                <w:b/>
                <w:sz w:val="16"/>
                <w:szCs w:val="16"/>
              </w:rPr>
            </w:pPr>
            <w:r>
              <w:rPr>
                <w:rFonts w:ascii="Calibri" w:hAnsi="Calibri" w:cs="Calibri"/>
                <w:b/>
                <w:sz w:val="16"/>
                <w:szCs w:val="16"/>
              </w:rPr>
              <w:t>Legibility</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Includes required number of relevant quotations or passages (on the left side of the double-entry journal) accompanied by student responses to the recorded passages (on the right side of the double-entry journal).</w:t>
            </w:r>
            <w:r w:rsidR="00D10BD9">
              <w:t xml:space="preserve"> </w:t>
            </w:r>
            <w:r w:rsidR="00D10BD9" w:rsidRPr="00D10BD9">
              <w:rPr>
                <w:sz w:val="16"/>
                <w:szCs w:val="16"/>
              </w:rPr>
              <w:t>Legible handwriting or printing</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Includes less than the required relevant quotations or passages (on the left side of the double-entry journal) accompanied by student responses to the recorded passages (on the right side of the double-entry journal).</w:t>
            </w:r>
            <w:r w:rsidR="00D10BD9">
              <w:rPr>
                <w:rFonts w:ascii="Calibri" w:hAnsi="Calibri" w:cs="Calibri"/>
                <w:sz w:val="16"/>
                <w:szCs w:val="16"/>
              </w:rPr>
              <w:t xml:space="preserve"> </w:t>
            </w:r>
            <w:r w:rsidR="00D10BD9" w:rsidRPr="00D10BD9">
              <w:rPr>
                <w:sz w:val="16"/>
                <w:szCs w:val="16"/>
              </w:rPr>
              <w:t>Marginally legible handwriting or printing</w:t>
            </w:r>
          </w:p>
        </w:tc>
        <w:tc>
          <w:tcPr>
            <w:tcW w:w="2158" w:type="dxa"/>
          </w:tcPr>
          <w:p w:rsidR="00F223B9" w:rsidRDefault="00F223B9" w:rsidP="00CF5759">
            <w:pPr>
              <w:rPr>
                <w:rFonts w:ascii="Calibri" w:hAnsi="Calibri" w:cs="Calibri"/>
                <w:sz w:val="16"/>
                <w:szCs w:val="16"/>
              </w:rPr>
            </w:pPr>
            <w:r w:rsidRPr="00F223B9">
              <w:rPr>
                <w:rFonts w:ascii="Calibri" w:hAnsi="Calibri" w:cs="Calibri"/>
                <w:sz w:val="16"/>
                <w:szCs w:val="16"/>
              </w:rPr>
              <w:t>Includes less than half of the required quotations or passages (on the left side of the double-entry journal) accompanied by student responses to the recorded passages (on the right side of the double-entry journal).</w:t>
            </w:r>
          </w:p>
          <w:p w:rsidR="00D10BD9" w:rsidRPr="00D10BD9" w:rsidRDefault="00D10BD9" w:rsidP="00CF5759">
            <w:pPr>
              <w:rPr>
                <w:rFonts w:ascii="Calibri" w:hAnsi="Calibri" w:cs="Calibri"/>
                <w:sz w:val="16"/>
                <w:szCs w:val="16"/>
              </w:rPr>
            </w:pPr>
            <w:r w:rsidRPr="00D10BD9">
              <w:rPr>
                <w:sz w:val="16"/>
                <w:szCs w:val="16"/>
              </w:rPr>
              <w:t>Writing is not legible in places.</w:t>
            </w:r>
          </w:p>
        </w:tc>
        <w:tc>
          <w:tcPr>
            <w:tcW w:w="2158" w:type="dxa"/>
          </w:tcPr>
          <w:p w:rsidR="00F223B9" w:rsidRDefault="00F223B9" w:rsidP="00CF5759">
            <w:pPr>
              <w:rPr>
                <w:rFonts w:ascii="Calibri" w:hAnsi="Calibri" w:cs="Calibri"/>
                <w:sz w:val="16"/>
                <w:szCs w:val="16"/>
              </w:rPr>
            </w:pPr>
            <w:r w:rsidRPr="00F223B9">
              <w:rPr>
                <w:rFonts w:ascii="Calibri" w:hAnsi="Calibri" w:cs="Calibri"/>
                <w:sz w:val="16"/>
                <w:szCs w:val="16"/>
              </w:rPr>
              <w:t>Include no quotations or passages (on the left side of the double-entry journal) accompanied by little to no student responses to the recorded passages (on the right side of the double-entry journal).</w:t>
            </w:r>
          </w:p>
          <w:p w:rsidR="00D10BD9" w:rsidRPr="00D10BD9" w:rsidRDefault="00D10BD9" w:rsidP="00CF5759">
            <w:pPr>
              <w:rPr>
                <w:rFonts w:ascii="Calibri" w:hAnsi="Calibri" w:cs="Calibri"/>
                <w:b/>
                <w:sz w:val="16"/>
                <w:szCs w:val="16"/>
              </w:rPr>
            </w:pPr>
            <w:r w:rsidRPr="00D10BD9">
              <w:rPr>
                <w:b/>
                <w:sz w:val="16"/>
                <w:szCs w:val="16"/>
              </w:rPr>
              <w:t>Writing is not legible; therefore, no credit for the entire entry.</w:t>
            </w:r>
          </w:p>
        </w:tc>
      </w:tr>
      <w:tr w:rsidR="00F223B9" w:rsidRPr="00F223B9" w:rsidTr="00CF5759">
        <w:tc>
          <w:tcPr>
            <w:tcW w:w="2158" w:type="dxa"/>
          </w:tcPr>
          <w:p w:rsidR="00F223B9" w:rsidRPr="00F223B9" w:rsidRDefault="00F223B9" w:rsidP="00CF5759">
            <w:pPr>
              <w:jc w:val="center"/>
              <w:rPr>
                <w:rFonts w:ascii="Calibri" w:hAnsi="Calibri" w:cs="Calibri"/>
                <w:b/>
                <w:sz w:val="16"/>
                <w:szCs w:val="16"/>
              </w:rPr>
            </w:pPr>
          </w:p>
          <w:p w:rsidR="00F223B9" w:rsidRPr="00F223B9" w:rsidRDefault="00F223B9" w:rsidP="00CF5759">
            <w:pPr>
              <w:jc w:val="center"/>
              <w:rPr>
                <w:rFonts w:ascii="Calibri" w:hAnsi="Calibri" w:cs="Calibri"/>
                <w:b/>
                <w:sz w:val="16"/>
                <w:szCs w:val="16"/>
              </w:rPr>
            </w:pPr>
            <w:r w:rsidRPr="00F223B9">
              <w:rPr>
                <w:rFonts w:ascii="Calibri" w:hAnsi="Calibri" w:cs="Calibri"/>
                <w:b/>
                <w:sz w:val="16"/>
                <w:szCs w:val="16"/>
              </w:rPr>
              <w:t>Relevancy of Quotes</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All quotes are thorough, thoughtful, and insightfully relate to the overall meaning of the text.</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Most quotes chosen are fairly thorough and adequately relate to the overall meaning of the text.</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Some quotes are incomplete or irrelevant.</w:t>
            </w:r>
          </w:p>
        </w:tc>
        <w:tc>
          <w:tcPr>
            <w:tcW w:w="2158" w:type="dxa"/>
          </w:tcPr>
          <w:p w:rsidR="00F223B9" w:rsidRPr="00F223B9" w:rsidRDefault="00F223B9" w:rsidP="00CF5759">
            <w:pPr>
              <w:rPr>
                <w:rFonts w:ascii="Calibri" w:hAnsi="Calibri" w:cs="Calibri"/>
                <w:sz w:val="16"/>
                <w:szCs w:val="16"/>
              </w:rPr>
            </w:pPr>
            <w:r w:rsidRPr="00F223B9">
              <w:rPr>
                <w:rFonts w:ascii="Calibri" w:hAnsi="Calibri" w:cs="Calibri"/>
                <w:sz w:val="16"/>
                <w:szCs w:val="16"/>
              </w:rPr>
              <w:t>Many quotes are disjointed, incomplete, or irrelevant.</w:t>
            </w:r>
          </w:p>
        </w:tc>
      </w:tr>
    </w:tbl>
    <w:p w:rsidR="00F223B9" w:rsidRDefault="00F223B9" w:rsidP="00B354BA">
      <w:pPr>
        <w:rPr>
          <w:rFonts w:ascii="Copperplate Gothic Bold" w:hAnsi="Copperplate Gothic Bold"/>
        </w:rPr>
      </w:pPr>
    </w:p>
    <w:p w:rsidR="00F223B9" w:rsidRDefault="00F223B9" w:rsidP="00F223B9">
      <w:pPr>
        <w:ind w:left="6480"/>
        <w:rPr>
          <w:rFonts w:ascii="Copperplate Gothic Bold" w:hAnsi="Copperplate Gothic Bold"/>
          <w:sz w:val="16"/>
          <w:szCs w:val="16"/>
        </w:rPr>
      </w:pPr>
      <w:r w:rsidRPr="00F223B9">
        <w:rPr>
          <w:rFonts w:ascii="Copperplate Gothic Bold" w:hAnsi="Copperplate Gothic Bold"/>
          <w:sz w:val="16"/>
          <w:szCs w:val="16"/>
        </w:rPr>
        <w:t>YOUR SCORE ______ /3 = _______ OUT OF 4</w:t>
      </w:r>
    </w:p>
    <w:p w:rsidR="004205E7" w:rsidRDefault="00123AB0" w:rsidP="004205E7">
      <w:pPr>
        <w:rPr>
          <w:rFonts w:ascii="Copperplate Gothic Bold" w:hAnsi="Copperplate Gothic Bold"/>
        </w:rPr>
      </w:pPr>
      <w:r>
        <w:rPr>
          <w:rFonts w:ascii="Copperplate Gothic Bold" w:hAnsi="Copperplate Gothic Bold"/>
        </w:rPr>
        <w:pict>
          <v:rect id="_x0000_i1026" style="width:0;height:1.5pt" o:hralign="center" o:hrstd="t" o:hr="t" fillcolor="#a0a0a0" stroked="f"/>
        </w:pict>
      </w:r>
    </w:p>
    <w:p w:rsidR="004205E7" w:rsidRDefault="00B86A0D" w:rsidP="004205E7">
      <w:pPr>
        <w:rPr>
          <w:rFonts w:cstheme="minorHAnsi"/>
          <w:b/>
          <w:sz w:val="16"/>
          <w:szCs w:val="16"/>
        </w:rPr>
      </w:pPr>
      <w:r>
        <w:rPr>
          <w:rFonts w:cstheme="minorHAnsi"/>
          <w:b/>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paragraph">
              <wp:posOffset>67945</wp:posOffset>
            </wp:positionV>
            <wp:extent cx="603250" cy="6032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margin">
              <wp14:pctWidth>0</wp14:pctWidth>
            </wp14:sizeRelH>
            <wp14:sizeRelV relativeFrom="margin">
              <wp14:pctHeight>0</wp14:pctHeight>
            </wp14:sizeRelV>
          </wp:anchor>
        </w:drawing>
      </w:r>
      <w:r w:rsidR="007467CF">
        <w:rPr>
          <w:rFonts w:cstheme="minorHAnsi"/>
          <w:b/>
          <w:sz w:val="16"/>
          <w:szCs w:val="16"/>
        </w:rPr>
        <w:t>Sobel’s nosiness becomes “violent clanging” (122 – Final Paragraph of Part I) just before he breaks the last and storms out of the shop. Why do you think Sobel acts this way? Reference details and evidence from the text to support your response.</w:t>
      </w:r>
    </w:p>
    <w:p w:rsidR="004211A2" w:rsidRDefault="004211A2" w:rsidP="004205E7">
      <w:pPr>
        <w:rPr>
          <w:rFonts w:cstheme="minorHAnsi"/>
          <w:b/>
          <w:sz w:val="16"/>
          <w:szCs w:val="16"/>
        </w:rPr>
      </w:pPr>
    </w:p>
    <w:p w:rsidR="004211A2" w:rsidRDefault="004211A2" w:rsidP="004205E7">
      <w:pPr>
        <w:rPr>
          <w:rFonts w:cstheme="minorHAnsi"/>
          <w:b/>
          <w:sz w:val="16"/>
          <w:szCs w:val="16"/>
        </w:rPr>
      </w:pPr>
    </w:p>
    <w:p w:rsidR="004211A2" w:rsidRDefault="00B86A0D" w:rsidP="004205E7">
      <w:pPr>
        <w:rPr>
          <w:rFonts w:cstheme="minorHAnsi"/>
          <w:b/>
          <w:sz w:val="16"/>
          <w:szCs w:val="16"/>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1A2" w:rsidRDefault="004211A2" w:rsidP="004205E7">
      <w:pPr>
        <w:rPr>
          <w:rFonts w:cstheme="minorHAnsi"/>
          <w:b/>
          <w:sz w:val="16"/>
          <w:szCs w:val="16"/>
        </w:rPr>
      </w:pPr>
    </w:p>
    <w:p w:rsidR="004211A2" w:rsidRPr="004211A2" w:rsidRDefault="004211A2" w:rsidP="004211A2">
      <w:pPr>
        <w:pStyle w:val="ListParagraph"/>
        <w:numPr>
          <w:ilvl w:val="0"/>
          <w:numId w:val="2"/>
        </w:numPr>
        <w:rPr>
          <w:rFonts w:ascii="Cambria" w:hAnsi="Cambria"/>
          <w:sz w:val="16"/>
          <w:szCs w:val="16"/>
        </w:rPr>
      </w:pPr>
      <w:r w:rsidRPr="004211A2">
        <w:rPr>
          <w:rFonts w:ascii="Cambria" w:hAnsi="Cambria"/>
          <w:b/>
          <w:sz w:val="16"/>
          <w:szCs w:val="16"/>
        </w:rPr>
        <w:t>Peters Township Honor Code</w:t>
      </w:r>
      <w:r w:rsidRPr="004211A2">
        <w:rPr>
          <w:rFonts w:ascii="Cambria" w:hAnsi="Cambria"/>
          <w:sz w:val="16"/>
          <w:szCs w:val="16"/>
        </w:rPr>
        <w:t>: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rsidR="004211A2" w:rsidRPr="004205E7" w:rsidRDefault="004211A2" w:rsidP="004205E7">
      <w:pPr>
        <w:rPr>
          <w:rFonts w:cstheme="minorHAnsi"/>
          <w:b/>
          <w:sz w:val="16"/>
          <w:szCs w:val="16"/>
        </w:rPr>
      </w:pPr>
    </w:p>
    <w:p w:rsidR="00F223B9" w:rsidRDefault="00F223B9" w:rsidP="00B354BA">
      <w:pPr>
        <w:rPr>
          <w:rFonts w:ascii="Copperplate Gothic Bold" w:hAnsi="Copperplate Gothic Bold"/>
        </w:rPr>
      </w:pPr>
    </w:p>
    <w:p w:rsidR="00B354BA" w:rsidRPr="00B354BA" w:rsidRDefault="00B354BA" w:rsidP="00B354BA">
      <w:pPr>
        <w:rPr>
          <w:rFonts w:ascii="Copperplate Gothic Bold" w:hAnsi="Copperplate Gothic Bold"/>
        </w:rPr>
      </w:pPr>
    </w:p>
    <w:sectPr w:rsidR="00B354BA" w:rsidRPr="00B354BA" w:rsidSect="004211A2">
      <w:headerReference w:type="default" r:id="rId8"/>
      <w:pgSz w:w="12240" w:h="15840"/>
      <w:pgMar w:top="720"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BA" w:rsidRDefault="00B354BA" w:rsidP="00B354BA">
      <w:pPr>
        <w:spacing w:after="0" w:line="240" w:lineRule="auto"/>
      </w:pPr>
      <w:r>
        <w:separator/>
      </w:r>
    </w:p>
  </w:endnote>
  <w:endnote w:type="continuationSeparator" w:id="0">
    <w:p w:rsidR="00B354BA" w:rsidRDefault="00B354BA" w:rsidP="00B3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BA" w:rsidRDefault="00B354BA" w:rsidP="00B354BA">
      <w:pPr>
        <w:spacing w:after="0" w:line="240" w:lineRule="auto"/>
      </w:pPr>
      <w:r>
        <w:separator/>
      </w:r>
    </w:p>
  </w:footnote>
  <w:footnote w:type="continuationSeparator" w:id="0">
    <w:p w:rsidR="00B354BA" w:rsidRDefault="00B354BA" w:rsidP="00B3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BA" w:rsidRDefault="00B354BA">
    <w:pPr>
      <w:pStyle w:val="Header"/>
    </w:pPr>
    <w:r>
      <w:t>Name</w:t>
    </w:r>
    <w:proofErr w:type="gramStart"/>
    <w:r>
      <w:t>:</w:t>
    </w:r>
    <w:proofErr w:type="gramEnd"/>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5862"/>
    <w:multiLevelType w:val="hybridMultilevel"/>
    <w:tmpl w:val="C282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85E9F"/>
    <w:multiLevelType w:val="hybridMultilevel"/>
    <w:tmpl w:val="2A708950"/>
    <w:lvl w:ilvl="0" w:tplc="0409000F">
      <w:start w:val="1"/>
      <w:numFmt w:val="decimal"/>
      <w:lvlText w:val="%1."/>
      <w:lvlJc w:val="left"/>
      <w:pPr>
        <w:ind w:left="720" w:hanging="360"/>
      </w:pPr>
      <w:rPr>
        <w:rFonts w:hint="default"/>
      </w:rPr>
    </w:lvl>
    <w:lvl w:ilvl="1" w:tplc="4C0CEFE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BA"/>
    <w:rsid w:val="00077824"/>
    <w:rsid w:val="00123AB0"/>
    <w:rsid w:val="0030369E"/>
    <w:rsid w:val="00336D8C"/>
    <w:rsid w:val="003E6971"/>
    <w:rsid w:val="004205E7"/>
    <w:rsid w:val="004211A2"/>
    <w:rsid w:val="00574649"/>
    <w:rsid w:val="007467CF"/>
    <w:rsid w:val="00B354BA"/>
    <w:rsid w:val="00B86A0D"/>
    <w:rsid w:val="00D10BD9"/>
    <w:rsid w:val="00F223B9"/>
    <w:rsid w:val="00F650AB"/>
    <w:rsid w:val="00FF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5D7BA9"/>
  <w15:chartTrackingRefBased/>
  <w15:docId w15:val="{28452120-50E4-458B-868E-C2FBEBDC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BA"/>
  </w:style>
  <w:style w:type="paragraph" w:styleId="Footer">
    <w:name w:val="footer"/>
    <w:basedOn w:val="Normal"/>
    <w:link w:val="FooterChar"/>
    <w:uiPriority w:val="99"/>
    <w:unhideWhenUsed/>
    <w:rsid w:val="00B3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BA"/>
  </w:style>
  <w:style w:type="table" w:styleId="TableGrid">
    <w:name w:val="Table Grid"/>
    <w:basedOn w:val="TableNormal"/>
    <w:rsid w:val="00B3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1A2"/>
    <w:pPr>
      <w:spacing w:line="300" w:lineRule="auto"/>
      <w:ind w:left="720"/>
      <w:contextualSpacing/>
    </w:pPr>
    <w:rPr>
      <w:rFonts w:eastAsiaTheme="minorEastAsia"/>
      <w:sz w:val="21"/>
      <w:szCs w:val="21"/>
    </w:rPr>
  </w:style>
  <w:style w:type="paragraph" w:styleId="BalloonText">
    <w:name w:val="Balloon Text"/>
    <w:basedOn w:val="Normal"/>
    <w:link w:val="BalloonTextChar"/>
    <w:uiPriority w:val="99"/>
    <w:semiHidden/>
    <w:unhideWhenUsed/>
    <w:rsid w:val="0012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4</cp:revision>
  <cp:lastPrinted>2019-12-09T15:06:00Z</cp:lastPrinted>
  <dcterms:created xsi:type="dcterms:W3CDTF">2019-12-09T13:49:00Z</dcterms:created>
  <dcterms:modified xsi:type="dcterms:W3CDTF">2019-12-09T15:06:00Z</dcterms:modified>
</cp:coreProperties>
</file>