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5A7B28" w:rsidP="005A7B28">
      <w:pPr>
        <w:jc w:val="center"/>
        <w:rPr>
          <w:rFonts w:ascii="Copperplate Gothic Bold" w:hAnsi="Copperplate Gothic Bold"/>
        </w:rPr>
      </w:pPr>
      <w:r>
        <w:rPr>
          <w:rFonts w:ascii="Copperplate Gothic Bold" w:hAnsi="Copperplate Gothic Bold"/>
        </w:rPr>
        <w:t>“</w:t>
      </w:r>
      <w:proofErr w:type="spellStart"/>
      <w:proofErr w:type="gramStart"/>
      <w:r>
        <w:rPr>
          <w:rFonts w:ascii="Copperplate Gothic Bold" w:hAnsi="Copperplate Gothic Bold"/>
        </w:rPr>
        <w:t>thE</w:t>
      </w:r>
      <w:proofErr w:type="spellEnd"/>
      <w:proofErr w:type="gramEnd"/>
      <w:r>
        <w:rPr>
          <w:rFonts w:ascii="Copperplate Gothic Bold" w:hAnsi="Copperplate Gothic Bold"/>
        </w:rPr>
        <w:t xml:space="preserve"> Bet” – Philosophy of life assignment</w:t>
      </w:r>
    </w:p>
    <w:p w:rsidR="005A7B28" w:rsidRPr="005F6921" w:rsidRDefault="005A7B28" w:rsidP="005A7B28">
      <w:pPr>
        <w:rPr>
          <w:rFonts w:ascii="Times New Roman" w:hAnsi="Times New Roman" w:cs="Times New Roman"/>
        </w:rPr>
      </w:pPr>
      <w:r w:rsidRPr="005A7B28">
        <w:rPr>
          <w:rFonts w:cstheme="minorHAnsi"/>
        </w:rPr>
        <w:t xml:space="preserve">In Chekhov’s story, the lawyer’s letter to his “jailer” is quite specific about his philosophy of life – what he considers important and unimportant and what freedom means to him. </w:t>
      </w:r>
    </w:p>
    <w:p w:rsidR="005A7B28" w:rsidRDefault="005A7B28" w:rsidP="005A7B28">
      <w:pPr>
        <w:rPr>
          <w:sz w:val="24"/>
          <w:szCs w:val="24"/>
        </w:rPr>
      </w:pPr>
      <w:r>
        <w:rPr>
          <w:sz w:val="24"/>
          <w:szCs w:val="24"/>
        </w:rPr>
        <w:pict>
          <v:rect id="_x0000_i1032" style="width:0;height:1.5pt" o:hralign="center" o:hrstd="t" o:hr="t" fillcolor="#a0a0a0" stroked="f"/>
        </w:pict>
      </w:r>
    </w:p>
    <w:p w:rsidR="005A7B28" w:rsidRPr="005A7B28" w:rsidRDefault="005A7B28" w:rsidP="005A7B28">
      <w:r w:rsidRPr="005A7B28">
        <w:t xml:space="preserve">As you </w:t>
      </w:r>
      <w:r w:rsidR="00B530B9">
        <w:t>re</w:t>
      </w:r>
      <w:r w:rsidRPr="005A7B28">
        <w:t>read</w:t>
      </w:r>
      <w:r w:rsidRPr="005A7B28">
        <w:t xml:space="preserve"> the Lawyer’s letter to the Banker</w:t>
      </w:r>
      <w:r w:rsidRPr="005A7B28">
        <w:t>, follow the guide below</w:t>
      </w:r>
      <w:r w:rsidRPr="005A7B28">
        <w:t xml:space="preserve"> for annotating the text</w:t>
      </w:r>
      <w:r w:rsidRPr="005A7B28">
        <w:t>:</w:t>
      </w:r>
    </w:p>
    <w:p w:rsidR="005A7B28" w:rsidRPr="005A7B28" w:rsidRDefault="005A7B28" w:rsidP="005A7B28">
      <w:pPr>
        <w:tabs>
          <w:tab w:val="left" w:pos="9630"/>
        </w:tabs>
      </w:pPr>
      <w:r w:rsidRPr="005A7B28">
        <w:t xml:space="preserve">Interpretive Notes and Symbols to be used are: </w:t>
      </w:r>
      <w:r w:rsidRPr="005A7B28">
        <w:tab/>
      </w:r>
    </w:p>
    <w:p w:rsidR="005A7B28" w:rsidRPr="005A7B28" w:rsidRDefault="005A7B28" w:rsidP="005A7B28">
      <w:pPr>
        <w:ind w:left="720"/>
        <w:sectPr w:rsidR="005A7B28" w:rsidRPr="005A7B28" w:rsidSect="005A7B28">
          <w:headerReference w:type="default" r:id="rId6"/>
          <w:pgSz w:w="12240" w:h="15840"/>
          <w:pgMar w:top="720" w:right="720" w:bottom="720" w:left="720" w:header="288" w:footer="720" w:gutter="0"/>
          <w:cols w:space="720"/>
          <w:docGrid w:linePitch="360"/>
        </w:sectPr>
      </w:pPr>
    </w:p>
    <w:p w:rsidR="005A7B28" w:rsidRPr="005A7B28" w:rsidRDefault="005A7B28" w:rsidP="005A7B28">
      <w:pPr>
        <w:ind w:left="720"/>
      </w:pPr>
      <w:r w:rsidRPr="005A7B28">
        <w:t xml:space="preserve">• Underline or highlight key words, phrases, or sentences that are important to understanding the work. </w:t>
      </w:r>
    </w:p>
    <w:p w:rsidR="005A7B28" w:rsidRPr="005A7B28" w:rsidRDefault="005A7B28" w:rsidP="005A7B28">
      <w:pPr>
        <w:ind w:left="720"/>
      </w:pPr>
      <w:r w:rsidRPr="005A7B28">
        <w:t xml:space="preserve">• Write questions or comments in the margins—your thoughts or “conversation” with the text. </w:t>
      </w:r>
    </w:p>
    <w:p w:rsidR="005A7B28" w:rsidRPr="005A7B28" w:rsidRDefault="005A7B28" w:rsidP="005A7B28">
      <w:pPr>
        <w:ind w:left="720"/>
      </w:pPr>
      <w:r w:rsidRPr="005A7B28">
        <w:t xml:space="preserve">• Bracket important ideas or passages. </w:t>
      </w:r>
    </w:p>
    <w:p w:rsidR="005A7B28" w:rsidRPr="005A7B28" w:rsidRDefault="005A7B28" w:rsidP="005A7B28">
      <w:pPr>
        <w:ind w:left="720"/>
      </w:pPr>
      <w:r w:rsidRPr="005A7B28">
        <w:t xml:space="preserve">• Use Vertical lines at the margin: to emphasize a statement already underlined or bracketed </w:t>
      </w:r>
    </w:p>
    <w:p w:rsidR="005A7B28" w:rsidRPr="005A7B28" w:rsidRDefault="005A7B28" w:rsidP="005A7B28">
      <w:pPr>
        <w:ind w:left="720"/>
      </w:pPr>
      <w:r w:rsidRPr="005A7B28">
        <w:t xml:space="preserve">• Connect ideas with lines or arrows. </w:t>
      </w:r>
    </w:p>
    <w:p w:rsidR="005A7B28" w:rsidRPr="005A7B28" w:rsidRDefault="005A7B28" w:rsidP="005A7B28">
      <w:pPr>
        <w:ind w:left="720"/>
      </w:pPr>
      <w:r w:rsidRPr="005A7B28">
        <w:t>• Use numbers in the margin: to indicate the sequence of points the author makes in developing a single argument.</w:t>
      </w:r>
    </w:p>
    <w:p w:rsidR="005A7B28" w:rsidRPr="005A7B28" w:rsidRDefault="005A7B28" w:rsidP="005A7B28">
      <w:pPr>
        <w:ind w:left="720"/>
      </w:pPr>
      <w:r w:rsidRPr="005A7B28">
        <w:t xml:space="preserve"> • Use a star or asterisk at the margin (use a consistent symbol): to be used sparingly, to emphasize the five or ten most important statements in the excerpt. </w:t>
      </w:r>
    </w:p>
    <w:p w:rsidR="005A7B28" w:rsidRPr="005A7B28" w:rsidRDefault="005A7B28" w:rsidP="005A7B28">
      <w:pPr>
        <w:ind w:left="720"/>
      </w:pPr>
      <w:r w:rsidRPr="005A7B28">
        <w:t xml:space="preserve">• </w:t>
      </w:r>
      <w:proofErr w:type="gramStart"/>
      <w:r w:rsidRPr="005A7B28">
        <w:t>Use ???</w:t>
      </w:r>
      <w:proofErr w:type="gramEnd"/>
      <w:r w:rsidRPr="005A7B28">
        <w:t xml:space="preserve"> </w:t>
      </w:r>
      <w:proofErr w:type="gramStart"/>
      <w:r w:rsidRPr="005A7B28">
        <w:t>for</w:t>
      </w:r>
      <w:proofErr w:type="gramEnd"/>
      <w:r w:rsidRPr="005A7B28">
        <w:t xml:space="preserve"> sections or ideas you don’t understand. </w:t>
      </w:r>
    </w:p>
    <w:p w:rsidR="005A7B28" w:rsidRPr="005A7B28" w:rsidRDefault="005A7B28" w:rsidP="005A7B28">
      <w:pPr>
        <w:ind w:left="720"/>
      </w:pPr>
      <w:r w:rsidRPr="005A7B28">
        <w:t xml:space="preserve">• Circle words you don’t know. Define them in the margins. </w:t>
      </w:r>
    </w:p>
    <w:p w:rsidR="005A7B28" w:rsidRPr="005A7B28" w:rsidRDefault="005A7B28" w:rsidP="005A7B28">
      <w:pPr>
        <w:ind w:left="720"/>
      </w:pPr>
      <w:r w:rsidRPr="005A7B28">
        <w:t xml:space="preserve">• A check mark means “I understand”. </w:t>
      </w:r>
    </w:p>
    <w:p w:rsidR="005A7B28" w:rsidRPr="005A7B28" w:rsidRDefault="005A7B28" w:rsidP="005A7B28">
      <w:pPr>
        <w:ind w:left="720"/>
      </w:pPr>
      <w:r w:rsidRPr="005A7B28">
        <w:t xml:space="preserve">• </w:t>
      </w:r>
      <w:proofErr w:type="gramStart"/>
      <w:r w:rsidRPr="005A7B28">
        <w:t>Use !!!</w:t>
      </w:r>
      <w:proofErr w:type="gramEnd"/>
      <w:r w:rsidRPr="005A7B28">
        <w:t xml:space="preserve"> </w:t>
      </w:r>
      <w:proofErr w:type="gramStart"/>
      <w:r w:rsidRPr="005A7B28">
        <w:t>when</w:t>
      </w:r>
      <w:proofErr w:type="gramEnd"/>
      <w:r w:rsidRPr="005A7B28">
        <w:t xml:space="preserve"> you come across something new, interesting, or surprising.</w:t>
      </w:r>
    </w:p>
    <w:p w:rsidR="005A7B28" w:rsidRPr="005A7B28" w:rsidRDefault="005A7B28" w:rsidP="005A7B28">
      <w:pPr>
        <w:sectPr w:rsidR="005A7B28" w:rsidRPr="005A7B28" w:rsidSect="005A7B28">
          <w:type w:val="continuous"/>
          <w:pgSz w:w="12240" w:h="15840"/>
          <w:pgMar w:top="720" w:right="720" w:bottom="720" w:left="720" w:header="288" w:footer="720" w:gutter="0"/>
          <w:cols w:num="2" w:space="720"/>
          <w:docGrid w:linePitch="360"/>
        </w:sectPr>
      </w:pPr>
    </w:p>
    <w:p w:rsidR="005A7B28" w:rsidRPr="005A7B28" w:rsidRDefault="005A7B28" w:rsidP="005A7B28">
      <w:r w:rsidRPr="005A7B28">
        <w:pict>
          <v:rect id="_x0000_i1025" style="width:0;height:1.5pt" o:hralign="center" o:hrstd="t" o:hr="t" fillcolor="#a0a0a0" stroked="f"/>
        </w:pict>
      </w:r>
    </w:p>
    <w:p w:rsidR="005A7B28" w:rsidRDefault="005A7B28" w:rsidP="005A7B28">
      <w:r w:rsidRPr="005A7B28">
        <w:t xml:space="preserve">Be sure to carefully read and annotate. You will be expected to be able to articulate your understanding of </w:t>
      </w:r>
      <w:r w:rsidRPr="005A7B28">
        <w:t>the Lawyer’s Philosophy of Life</w:t>
      </w:r>
      <w:r w:rsidRPr="005A7B28">
        <w:t xml:space="preserve"> in both writing and during discussion.</w:t>
      </w:r>
      <w:r w:rsidR="001B7ED7">
        <w:t xml:space="preserve"> </w:t>
      </w:r>
    </w:p>
    <w:p w:rsidR="001B7ED7" w:rsidRPr="001B7ED7" w:rsidRDefault="001B7ED7" w:rsidP="005A7B28">
      <w:pPr>
        <w:rPr>
          <w:b/>
        </w:rPr>
      </w:pPr>
      <w:r w:rsidRPr="001B7ED7">
        <w:rPr>
          <w:b/>
        </w:rPr>
        <w:t>After annotating, paraphrase each paragraph of the Lawyer’s letter in the column on the right. You MUST ANNOTATE.</w:t>
      </w:r>
    </w:p>
    <w:p w:rsidR="005A7B28" w:rsidRDefault="005A7B28" w:rsidP="005A7B28">
      <w:pPr>
        <w:rPr>
          <w:sz w:val="24"/>
          <w:szCs w:val="24"/>
        </w:rPr>
      </w:pPr>
      <w:r>
        <w:rPr>
          <w:sz w:val="24"/>
          <w:szCs w:val="24"/>
        </w:rPr>
        <w:pict>
          <v:rect id="_x0000_i1031" style="width:0;height:1.5pt" o:hralign="center" o:bullet="t" o:hrstd="t" o:hr="t" fillcolor="#a0a0a0" stroked="f"/>
        </w:pict>
      </w:r>
    </w:p>
    <w:tbl>
      <w:tblPr>
        <w:tblStyle w:val="TableGrid"/>
        <w:tblW w:w="10890" w:type="dxa"/>
        <w:tblInd w:w="-455" w:type="dxa"/>
        <w:tblLook w:val="04A0" w:firstRow="1" w:lastRow="0" w:firstColumn="1" w:lastColumn="0" w:noHBand="0" w:noVBand="1"/>
      </w:tblPr>
      <w:tblGrid>
        <w:gridCol w:w="5562"/>
        <w:gridCol w:w="5328"/>
      </w:tblGrid>
      <w:tr w:rsidR="001B7ED7" w:rsidRPr="008A72A0" w:rsidTr="005840A2">
        <w:tc>
          <w:tcPr>
            <w:tcW w:w="10890" w:type="dxa"/>
            <w:gridSpan w:val="2"/>
          </w:tcPr>
          <w:p w:rsidR="001B7ED7" w:rsidRPr="008A72A0" w:rsidRDefault="001B7ED7" w:rsidP="001B7ED7">
            <w:pPr>
              <w:rPr>
                <w:b/>
                <w:sz w:val="24"/>
                <w:szCs w:val="24"/>
              </w:rPr>
            </w:pPr>
            <w:r w:rsidRPr="008A72A0">
              <w:rPr>
                <w:b/>
                <w:sz w:val="24"/>
                <w:szCs w:val="24"/>
              </w:rPr>
              <w:t>PARAPHRASE</w:t>
            </w:r>
            <w:r>
              <w:rPr>
                <w:b/>
                <w:sz w:val="24"/>
                <w:szCs w:val="24"/>
              </w:rPr>
              <w:t xml:space="preserve"> - </w:t>
            </w:r>
            <w:r w:rsidRPr="001B7ED7">
              <w:rPr>
                <w:rFonts w:cstheme="minorHAnsi"/>
                <w:color w:val="333333"/>
                <w:sz w:val="20"/>
                <w:szCs w:val="20"/>
                <w:shd w:val="clear" w:color="auto" w:fill="FFFFFF"/>
              </w:rPr>
              <w:t>paraphrasing, which is to express an idea or somebody’s message in our own words, by maintaining the meaning of the original material. Paraphrase is a Greek word, </w:t>
            </w:r>
            <w:proofErr w:type="spellStart"/>
            <w:r w:rsidRPr="001B7ED7">
              <w:rPr>
                <w:rStyle w:val="Emphasis"/>
                <w:rFonts w:cstheme="minorHAnsi"/>
                <w:color w:val="333333"/>
                <w:sz w:val="20"/>
                <w:szCs w:val="20"/>
                <w:shd w:val="clear" w:color="auto" w:fill="FFFFFF"/>
              </w:rPr>
              <w:t>paraphrasis</w:t>
            </w:r>
            <w:proofErr w:type="spellEnd"/>
            <w:r w:rsidRPr="001B7ED7">
              <w:rPr>
                <w:rFonts w:cstheme="minorHAnsi"/>
                <w:color w:val="333333"/>
                <w:sz w:val="20"/>
                <w:szCs w:val="20"/>
                <w:shd w:val="clear" w:color="auto" w:fill="FFFFFF"/>
              </w:rPr>
              <w:t>, which means “to tell in other words.” Simply, it is to restate a statement in different words than the original text, while keeping the meaning and sense of the original source the same.</w:t>
            </w:r>
          </w:p>
        </w:tc>
      </w:tr>
      <w:tr w:rsidR="0090261A" w:rsidTr="008A72A0">
        <w:tc>
          <w:tcPr>
            <w:tcW w:w="5562" w:type="dxa"/>
          </w:tcPr>
          <w:p w:rsidR="0090261A" w:rsidRPr="008A72A0"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xml:space="preserve">The banker took the page from the table and read as follows: </w:t>
            </w:r>
          </w:p>
          <w:p w:rsidR="0090261A"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"To-morrow at twelve o'clock I regain my freedom and the right to associate with other men, but before I leave this room and see the sunshine, I think it necessary to say a few words to you. With a clear conscience I tell you,</w:t>
            </w:r>
            <w:r w:rsidR="00B530B9">
              <w:rPr>
                <w:rFonts w:asciiTheme="minorHAnsi" w:hAnsiTheme="minorHAnsi" w:cstheme="minorHAnsi"/>
                <w:sz w:val="22"/>
                <w:szCs w:val="22"/>
              </w:rPr>
              <w:t xml:space="preserve"> as before God, who beholds </w:t>
            </w:r>
            <w:proofErr w:type="gramStart"/>
            <w:r w:rsidR="00B530B9">
              <w:rPr>
                <w:rFonts w:asciiTheme="minorHAnsi" w:hAnsiTheme="minorHAnsi" w:cstheme="minorHAnsi"/>
                <w:sz w:val="22"/>
                <w:szCs w:val="22"/>
              </w:rPr>
              <w:t xml:space="preserve">me, </w:t>
            </w:r>
            <w:r w:rsidRPr="008A72A0">
              <w:rPr>
                <w:rFonts w:asciiTheme="minorHAnsi" w:hAnsiTheme="minorHAnsi" w:cstheme="minorHAnsi"/>
                <w:sz w:val="22"/>
                <w:szCs w:val="22"/>
              </w:rPr>
              <w:t>that</w:t>
            </w:r>
            <w:proofErr w:type="gramEnd"/>
            <w:r w:rsidRPr="008A72A0">
              <w:rPr>
                <w:rFonts w:asciiTheme="minorHAnsi" w:hAnsiTheme="minorHAnsi" w:cstheme="minorHAnsi"/>
                <w:sz w:val="22"/>
                <w:szCs w:val="22"/>
              </w:rPr>
              <w:t xml:space="preserve"> I despise freedom and life and health, and all that in your books is called the good things of the world. </w:t>
            </w:r>
          </w:p>
          <w:p w:rsidR="00B530B9" w:rsidRDefault="00B530B9" w:rsidP="008A72A0">
            <w:pPr>
              <w:pStyle w:val="NormalWeb"/>
              <w:rPr>
                <w:rFonts w:asciiTheme="minorHAnsi" w:hAnsiTheme="minorHAnsi" w:cstheme="minorHAnsi"/>
                <w:sz w:val="22"/>
                <w:szCs w:val="22"/>
              </w:rPr>
            </w:pPr>
          </w:p>
          <w:p w:rsidR="00B530B9" w:rsidRPr="008A72A0" w:rsidRDefault="00B530B9" w:rsidP="008A72A0">
            <w:pPr>
              <w:pStyle w:val="NormalWeb"/>
              <w:rPr>
                <w:rFonts w:asciiTheme="minorHAnsi" w:hAnsiTheme="minorHAnsi" w:cstheme="minorHAnsi"/>
                <w:sz w:val="22"/>
                <w:szCs w:val="22"/>
              </w:rPr>
            </w:pPr>
          </w:p>
        </w:tc>
        <w:tc>
          <w:tcPr>
            <w:tcW w:w="5328" w:type="dxa"/>
          </w:tcPr>
          <w:p w:rsidR="0090261A" w:rsidRDefault="0090261A" w:rsidP="005A7B28">
            <w:pPr>
              <w:rPr>
                <w:sz w:val="24"/>
                <w:szCs w:val="24"/>
              </w:rPr>
            </w:pPr>
          </w:p>
        </w:tc>
      </w:tr>
      <w:tr w:rsidR="0090261A" w:rsidTr="008A72A0">
        <w:tc>
          <w:tcPr>
            <w:tcW w:w="5562" w:type="dxa"/>
          </w:tcPr>
          <w:p w:rsidR="0090261A" w:rsidRPr="008A72A0"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lastRenderedPageBreak/>
              <w:t xml:space="preserve">     "For fifteen years I have been intently studying earthly life. It is true I have not seen the earth nor men, but in your books I have drunk fragrant wine, I have sung songs, I have hunted stags and wild boars in the forests, have loved women ...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God ... In your books I have flung myself into the bottomless pit, performed miracles, slain, burned towns, preached new religions, conquered whole kingdoms ... </w:t>
            </w:r>
          </w:p>
          <w:p w:rsidR="0090261A" w:rsidRPr="008A72A0" w:rsidRDefault="0090261A" w:rsidP="008A72A0">
            <w:pPr>
              <w:pStyle w:val="NormalWeb"/>
              <w:rPr>
                <w:rFonts w:asciiTheme="minorHAnsi" w:hAnsiTheme="minorHAnsi" w:cstheme="minorHAnsi"/>
                <w:sz w:val="22"/>
                <w:szCs w:val="22"/>
              </w:rPr>
            </w:pPr>
          </w:p>
        </w:tc>
        <w:tc>
          <w:tcPr>
            <w:tcW w:w="5328" w:type="dxa"/>
          </w:tcPr>
          <w:p w:rsidR="0090261A" w:rsidRDefault="0090261A" w:rsidP="005A7B28">
            <w:pPr>
              <w:rPr>
                <w:sz w:val="24"/>
                <w:szCs w:val="24"/>
              </w:rPr>
            </w:pPr>
          </w:p>
        </w:tc>
      </w:tr>
      <w:tr w:rsidR="0090261A" w:rsidTr="008A72A0">
        <w:tc>
          <w:tcPr>
            <w:tcW w:w="5562" w:type="dxa"/>
          </w:tcPr>
          <w:p w:rsidR="0090261A"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xml:space="preserve">"Your books have given me wisdom. All that the </w:t>
            </w:r>
            <w:proofErr w:type="spellStart"/>
            <w:r w:rsidRPr="008A72A0">
              <w:rPr>
                <w:rFonts w:asciiTheme="minorHAnsi" w:hAnsiTheme="minorHAnsi" w:cstheme="minorHAnsi"/>
                <w:sz w:val="22"/>
                <w:szCs w:val="22"/>
              </w:rPr>
              <w:t>unresting</w:t>
            </w:r>
            <w:proofErr w:type="spellEnd"/>
            <w:r w:rsidRPr="008A72A0">
              <w:rPr>
                <w:rFonts w:asciiTheme="minorHAnsi" w:hAnsiTheme="minorHAnsi" w:cstheme="minorHAnsi"/>
                <w:sz w:val="22"/>
                <w:szCs w:val="22"/>
              </w:rPr>
              <w:t xml:space="preserve"> thought of man has created in the ages is compressed into a small compass in my brain. I know that I am wiser than all of you.</w:t>
            </w:r>
          </w:p>
          <w:p w:rsidR="008A72A0" w:rsidRPr="008A72A0" w:rsidRDefault="008A72A0" w:rsidP="008A72A0">
            <w:pPr>
              <w:pStyle w:val="NormalWeb"/>
              <w:rPr>
                <w:rFonts w:asciiTheme="minorHAnsi" w:hAnsiTheme="minorHAnsi" w:cstheme="minorHAnsi"/>
                <w:sz w:val="22"/>
                <w:szCs w:val="22"/>
              </w:rPr>
            </w:pPr>
          </w:p>
        </w:tc>
        <w:tc>
          <w:tcPr>
            <w:tcW w:w="5328" w:type="dxa"/>
          </w:tcPr>
          <w:p w:rsidR="0090261A" w:rsidRDefault="0090261A" w:rsidP="005A7B28">
            <w:pPr>
              <w:rPr>
                <w:sz w:val="24"/>
                <w:szCs w:val="24"/>
              </w:rPr>
            </w:pPr>
          </w:p>
        </w:tc>
      </w:tr>
      <w:tr w:rsidR="0090261A" w:rsidTr="008A72A0">
        <w:tc>
          <w:tcPr>
            <w:tcW w:w="5562" w:type="dxa"/>
          </w:tcPr>
          <w:p w:rsidR="0090261A" w:rsidRPr="008A72A0"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xml:space="preserve">     "And I despise your books,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 </w:t>
            </w:r>
          </w:p>
          <w:p w:rsidR="0090261A" w:rsidRPr="008A72A0" w:rsidRDefault="0090261A" w:rsidP="008A72A0">
            <w:pPr>
              <w:pStyle w:val="NormalWeb"/>
              <w:rPr>
                <w:rFonts w:asciiTheme="minorHAnsi" w:hAnsiTheme="minorHAnsi" w:cstheme="minorHAnsi"/>
                <w:sz w:val="22"/>
                <w:szCs w:val="22"/>
              </w:rPr>
            </w:pPr>
          </w:p>
        </w:tc>
        <w:tc>
          <w:tcPr>
            <w:tcW w:w="5328" w:type="dxa"/>
          </w:tcPr>
          <w:p w:rsidR="0090261A" w:rsidRDefault="0090261A" w:rsidP="005A7B28">
            <w:pPr>
              <w:rPr>
                <w:sz w:val="24"/>
                <w:szCs w:val="24"/>
              </w:rPr>
            </w:pPr>
          </w:p>
        </w:tc>
      </w:tr>
      <w:tr w:rsidR="0090261A" w:rsidTr="008A72A0">
        <w:tc>
          <w:tcPr>
            <w:tcW w:w="5562" w:type="dxa"/>
          </w:tcPr>
          <w:p w:rsidR="0090261A" w:rsidRPr="008A72A0"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xml:space="preserve">     "You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 </w:t>
            </w:r>
          </w:p>
          <w:p w:rsidR="0090261A" w:rsidRPr="008A72A0" w:rsidRDefault="0090261A" w:rsidP="008A72A0">
            <w:pPr>
              <w:pStyle w:val="NormalWeb"/>
              <w:rPr>
                <w:rFonts w:asciiTheme="minorHAnsi" w:hAnsiTheme="minorHAnsi" w:cstheme="minorHAnsi"/>
                <w:sz w:val="22"/>
                <w:szCs w:val="22"/>
              </w:rPr>
            </w:pPr>
          </w:p>
        </w:tc>
        <w:tc>
          <w:tcPr>
            <w:tcW w:w="5328" w:type="dxa"/>
          </w:tcPr>
          <w:p w:rsidR="0090261A" w:rsidRDefault="0090261A" w:rsidP="005A7B28">
            <w:pPr>
              <w:rPr>
                <w:sz w:val="24"/>
                <w:szCs w:val="24"/>
              </w:rPr>
            </w:pPr>
          </w:p>
        </w:tc>
      </w:tr>
      <w:tr w:rsidR="0090261A" w:rsidTr="008A72A0">
        <w:tc>
          <w:tcPr>
            <w:tcW w:w="5562" w:type="dxa"/>
          </w:tcPr>
          <w:p w:rsidR="0090261A" w:rsidRPr="008A72A0" w:rsidRDefault="0090261A" w:rsidP="008A72A0">
            <w:pPr>
              <w:pStyle w:val="NormalWeb"/>
              <w:rPr>
                <w:rFonts w:asciiTheme="minorHAnsi" w:hAnsiTheme="minorHAnsi" w:cstheme="minorHAnsi"/>
                <w:sz w:val="22"/>
                <w:szCs w:val="22"/>
              </w:rPr>
            </w:pPr>
            <w:r w:rsidRPr="008A72A0">
              <w:rPr>
                <w:rFonts w:asciiTheme="minorHAnsi" w:hAnsiTheme="minorHAnsi" w:cstheme="minorHAnsi"/>
                <w:sz w:val="22"/>
                <w:szCs w:val="22"/>
              </w:rPr>
              <w:t xml:space="preserve">     "To prove to you in action how I despise all that you live by, I renounce the two million of which I once dreamed as of paradise and which now I despise. To deprive myself of the right to the money I shall go out from here five minutes before the time fixed, and so break the compact ..." </w:t>
            </w:r>
          </w:p>
        </w:tc>
        <w:tc>
          <w:tcPr>
            <w:tcW w:w="5328" w:type="dxa"/>
          </w:tcPr>
          <w:p w:rsidR="0090261A" w:rsidRDefault="0090261A" w:rsidP="005A7B28">
            <w:pPr>
              <w:rPr>
                <w:sz w:val="24"/>
                <w:szCs w:val="24"/>
              </w:rPr>
            </w:pPr>
          </w:p>
        </w:tc>
      </w:tr>
    </w:tbl>
    <w:p w:rsidR="005A7B28" w:rsidRDefault="005A7B28" w:rsidP="005A7B28">
      <w:pPr>
        <w:rPr>
          <w:sz w:val="24"/>
          <w:szCs w:val="24"/>
        </w:rPr>
      </w:pPr>
    </w:p>
    <w:tbl>
      <w:tblPr>
        <w:tblStyle w:val="TableGrid"/>
        <w:tblW w:w="0" w:type="auto"/>
        <w:jc w:val="center"/>
        <w:tblLook w:val="04A0" w:firstRow="1" w:lastRow="0" w:firstColumn="1" w:lastColumn="0" w:noHBand="0" w:noVBand="1"/>
      </w:tblPr>
      <w:tblGrid>
        <w:gridCol w:w="2245"/>
        <w:gridCol w:w="3118"/>
        <w:gridCol w:w="2462"/>
        <w:gridCol w:w="2070"/>
      </w:tblGrid>
      <w:tr w:rsidR="00BE524C" w:rsidRPr="00335865" w:rsidTr="00BF0F36">
        <w:trPr>
          <w:jc w:val="center"/>
        </w:trPr>
        <w:tc>
          <w:tcPr>
            <w:tcW w:w="2245" w:type="dxa"/>
          </w:tcPr>
          <w:p w:rsidR="00BE524C" w:rsidRPr="00335865" w:rsidRDefault="00BE524C" w:rsidP="00BE524C">
            <w:pPr>
              <w:pStyle w:val="Standard"/>
              <w:jc w:val="center"/>
              <w:rPr>
                <w:b/>
              </w:rPr>
            </w:pPr>
            <w:r w:rsidRPr="00335865">
              <w:rPr>
                <w:b/>
              </w:rPr>
              <w:lastRenderedPageBreak/>
              <w:t>Content</w:t>
            </w:r>
          </w:p>
        </w:tc>
        <w:tc>
          <w:tcPr>
            <w:tcW w:w="3118" w:type="dxa"/>
          </w:tcPr>
          <w:p w:rsidR="00BE524C" w:rsidRPr="00335865" w:rsidRDefault="00BE524C" w:rsidP="00BE524C">
            <w:pPr>
              <w:pStyle w:val="Standard"/>
              <w:jc w:val="center"/>
              <w:rPr>
                <w:b/>
              </w:rPr>
            </w:pPr>
            <w:r>
              <w:rPr>
                <w:b/>
              </w:rPr>
              <w:t>2</w:t>
            </w:r>
          </w:p>
        </w:tc>
        <w:tc>
          <w:tcPr>
            <w:tcW w:w="2462" w:type="dxa"/>
          </w:tcPr>
          <w:p w:rsidR="00BE524C" w:rsidRPr="00335865" w:rsidRDefault="00BE524C" w:rsidP="00BE524C">
            <w:pPr>
              <w:pStyle w:val="Standard"/>
              <w:jc w:val="center"/>
              <w:rPr>
                <w:b/>
              </w:rPr>
            </w:pPr>
            <w:r>
              <w:rPr>
                <w:b/>
              </w:rPr>
              <w:t>1.5</w:t>
            </w:r>
          </w:p>
        </w:tc>
        <w:tc>
          <w:tcPr>
            <w:tcW w:w="2070" w:type="dxa"/>
          </w:tcPr>
          <w:p w:rsidR="00BE524C" w:rsidRPr="00335865" w:rsidRDefault="00BE524C" w:rsidP="00BE524C">
            <w:pPr>
              <w:pStyle w:val="Standard"/>
              <w:jc w:val="center"/>
              <w:rPr>
                <w:b/>
              </w:rPr>
            </w:pPr>
            <w:r>
              <w:rPr>
                <w:b/>
              </w:rPr>
              <w:t>1 - 0</w:t>
            </w:r>
          </w:p>
        </w:tc>
      </w:tr>
      <w:tr w:rsidR="00BE524C" w:rsidRPr="00BE524C" w:rsidTr="00BF0F36">
        <w:trPr>
          <w:jc w:val="center"/>
        </w:trPr>
        <w:tc>
          <w:tcPr>
            <w:tcW w:w="2245" w:type="dxa"/>
          </w:tcPr>
          <w:p w:rsidR="00BE524C" w:rsidRPr="00BE524C" w:rsidRDefault="00BE524C" w:rsidP="00B7561D">
            <w:pPr>
              <w:pStyle w:val="Standard"/>
              <w:rPr>
                <w:rFonts w:asciiTheme="minorHAnsi" w:hAnsiTheme="minorHAnsi" w:cstheme="minorHAnsi"/>
                <w:b/>
                <w:sz w:val="20"/>
                <w:szCs w:val="20"/>
              </w:rPr>
            </w:pPr>
            <w:r w:rsidRPr="00BE524C">
              <w:rPr>
                <w:rFonts w:asciiTheme="minorHAnsi" w:hAnsiTheme="minorHAnsi" w:cstheme="minorHAnsi"/>
                <w:b/>
                <w:sz w:val="20"/>
                <w:szCs w:val="20"/>
              </w:rPr>
              <w:t>Accuracy of Information</w:t>
            </w:r>
          </w:p>
        </w:tc>
        <w:tc>
          <w:tcPr>
            <w:tcW w:w="3118"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The paraphrase demonstrates an excell</w:t>
            </w:r>
            <w:r>
              <w:rPr>
                <w:rFonts w:asciiTheme="minorHAnsi" w:hAnsiTheme="minorHAnsi" w:cstheme="minorHAnsi"/>
                <w:sz w:val="20"/>
                <w:szCs w:val="20"/>
              </w:rPr>
              <w:t>ent understanding of the letter</w:t>
            </w:r>
            <w:r w:rsidRPr="00BE524C">
              <w:rPr>
                <w:rFonts w:asciiTheme="minorHAnsi" w:hAnsiTheme="minorHAnsi" w:cstheme="minorHAnsi"/>
                <w:sz w:val="20"/>
                <w:szCs w:val="20"/>
              </w:rPr>
              <w:t xml:space="preserve">’s content.  </w:t>
            </w:r>
          </w:p>
        </w:tc>
        <w:tc>
          <w:tcPr>
            <w:tcW w:w="2462"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 xml:space="preserve">The paraphrase shows that almost all key elements were understood. </w:t>
            </w:r>
          </w:p>
        </w:tc>
        <w:tc>
          <w:tcPr>
            <w:tcW w:w="2070" w:type="dxa"/>
          </w:tcPr>
          <w:p w:rsidR="00BE524C" w:rsidRPr="00BE524C" w:rsidRDefault="00BE524C" w:rsidP="00BF0F36">
            <w:pPr>
              <w:pStyle w:val="Standard"/>
              <w:rPr>
                <w:rFonts w:asciiTheme="minorHAnsi" w:hAnsiTheme="minorHAnsi" w:cstheme="minorHAnsi"/>
                <w:sz w:val="20"/>
                <w:szCs w:val="20"/>
              </w:rPr>
            </w:pPr>
            <w:r w:rsidRPr="00BE524C">
              <w:rPr>
                <w:rFonts w:asciiTheme="minorHAnsi" w:hAnsiTheme="minorHAnsi" w:cstheme="minorHAnsi"/>
                <w:sz w:val="20"/>
                <w:szCs w:val="20"/>
              </w:rPr>
              <w:t>There are places where it is obvious that the studen</w:t>
            </w:r>
            <w:r>
              <w:rPr>
                <w:rFonts w:asciiTheme="minorHAnsi" w:hAnsiTheme="minorHAnsi" w:cstheme="minorHAnsi"/>
                <w:sz w:val="20"/>
                <w:szCs w:val="20"/>
              </w:rPr>
              <w:t>t did not understand the letter</w:t>
            </w:r>
            <w:r w:rsidR="00BF0F36">
              <w:rPr>
                <w:rFonts w:asciiTheme="minorHAnsi" w:hAnsiTheme="minorHAnsi" w:cstheme="minorHAnsi"/>
                <w:sz w:val="20"/>
                <w:szCs w:val="20"/>
              </w:rPr>
              <w:t>.</w:t>
            </w:r>
          </w:p>
        </w:tc>
      </w:tr>
      <w:tr w:rsidR="00BE524C" w:rsidRPr="00BE524C" w:rsidTr="00BF0F36">
        <w:trPr>
          <w:jc w:val="center"/>
        </w:trPr>
        <w:tc>
          <w:tcPr>
            <w:tcW w:w="2245" w:type="dxa"/>
          </w:tcPr>
          <w:p w:rsidR="00BE524C" w:rsidRPr="00BE524C" w:rsidRDefault="00BE524C" w:rsidP="00B7561D">
            <w:pPr>
              <w:pStyle w:val="Standard"/>
              <w:rPr>
                <w:rFonts w:asciiTheme="minorHAnsi" w:hAnsiTheme="minorHAnsi" w:cstheme="minorHAnsi"/>
                <w:b/>
                <w:sz w:val="20"/>
                <w:szCs w:val="20"/>
              </w:rPr>
            </w:pPr>
            <w:r w:rsidRPr="00BE524C">
              <w:rPr>
                <w:rFonts w:asciiTheme="minorHAnsi" w:hAnsiTheme="minorHAnsi" w:cstheme="minorHAnsi"/>
                <w:b/>
                <w:sz w:val="20"/>
                <w:szCs w:val="20"/>
              </w:rPr>
              <w:t>Content Clarity</w:t>
            </w:r>
          </w:p>
        </w:tc>
        <w:tc>
          <w:tcPr>
            <w:tcW w:w="3118"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A clear and harmonious paraphrase that illustrates an underst</w:t>
            </w:r>
            <w:r>
              <w:rPr>
                <w:rFonts w:asciiTheme="minorHAnsi" w:hAnsiTheme="minorHAnsi" w:cstheme="minorHAnsi"/>
                <w:sz w:val="20"/>
                <w:szCs w:val="20"/>
              </w:rPr>
              <w:t>anding of language and content of the Lawyer’s letter.</w:t>
            </w:r>
          </w:p>
        </w:tc>
        <w:tc>
          <w:tcPr>
            <w:tcW w:w="2462"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A decent attempt at deconstruct</w:t>
            </w:r>
            <w:r w:rsidR="00BF0F36">
              <w:rPr>
                <w:rFonts w:asciiTheme="minorHAnsi" w:hAnsiTheme="minorHAnsi" w:cstheme="minorHAnsi"/>
                <w:sz w:val="20"/>
                <w:szCs w:val="20"/>
              </w:rPr>
              <w:t>ing and paraphrasing the Lawyer’s letter</w:t>
            </w:r>
            <w:r w:rsidRPr="00BE524C">
              <w:rPr>
                <w:rFonts w:asciiTheme="minorHAnsi" w:hAnsiTheme="minorHAnsi" w:cstheme="minorHAnsi"/>
                <w:sz w:val="20"/>
                <w:szCs w:val="20"/>
              </w:rPr>
              <w:t>. The</w:t>
            </w:r>
            <w:r w:rsidR="00BF0F36">
              <w:rPr>
                <w:rFonts w:asciiTheme="minorHAnsi" w:hAnsiTheme="minorHAnsi" w:cstheme="minorHAnsi"/>
                <w:sz w:val="20"/>
                <w:szCs w:val="20"/>
              </w:rPr>
              <w:t>re may be a place where the paraphrase is disrupted or a misunderstanding of the content.</w:t>
            </w:r>
          </w:p>
        </w:tc>
        <w:tc>
          <w:tcPr>
            <w:tcW w:w="2070" w:type="dxa"/>
          </w:tcPr>
          <w:p w:rsidR="00BE524C" w:rsidRPr="00BE524C" w:rsidRDefault="00BF0F36" w:rsidP="00BF0F36">
            <w:pPr>
              <w:pStyle w:val="Standard"/>
              <w:rPr>
                <w:rFonts w:asciiTheme="minorHAnsi" w:hAnsiTheme="minorHAnsi" w:cstheme="minorHAnsi"/>
                <w:sz w:val="20"/>
                <w:szCs w:val="20"/>
              </w:rPr>
            </w:pPr>
            <w:r>
              <w:rPr>
                <w:rFonts w:asciiTheme="minorHAnsi" w:hAnsiTheme="minorHAnsi" w:cstheme="minorHAnsi"/>
                <w:sz w:val="20"/>
                <w:szCs w:val="20"/>
              </w:rPr>
              <w:t>The paraphrase of the individual paragraph</w:t>
            </w:r>
            <w:r w:rsidR="00BE524C" w:rsidRPr="00BE524C">
              <w:rPr>
                <w:rFonts w:asciiTheme="minorHAnsi" w:hAnsiTheme="minorHAnsi" w:cstheme="minorHAnsi"/>
                <w:sz w:val="20"/>
                <w:szCs w:val="20"/>
              </w:rPr>
              <w:t xml:space="preserve"> is disharmonious</w:t>
            </w:r>
            <w:r w:rsidR="00BE524C">
              <w:rPr>
                <w:rFonts w:asciiTheme="minorHAnsi" w:hAnsiTheme="minorHAnsi" w:cstheme="minorHAnsi"/>
                <w:sz w:val="20"/>
                <w:szCs w:val="20"/>
              </w:rPr>
              <w:t>.</w:t>
            </w:r>
            <w:r w:rsidR="00BE524C" w:rsidRPr="00BE524C">
              <w:rPr>
                <w:rFonts w:asciiTheme="minorHAnsi" w:hAnsiTheme="minorHAnsi" w:cstheme="minorHAnsi"/>
                <w:sz w:val="20"/>
                <w:szCs w:val="20"/>
              </w:rPr>
              <w:t xml:space="preserve"> </w:t>
            </w:r>
          </w:p>
        </w:tc>
      </w:tr>
      <w:tr w:rsidR="00BE524C" w:rsidRPr="00BE524C" w:rsidTr="00BF0F36">
        <w:trPr>
          <w:jc w:val="center"/>
        </w:trPr>
        <w:tc>
          <w:tcPr>
            <w:tcW w:w="2245" w:type="dxa"/>
          </w:tcPr>
          <w:p w:rsidR="00BE524C" w:rsidRPr="00BE524C" w:rsidRDefault="00BE524C" w:rsidP="00B7561D">
            <w:pPr>
              <w:pStyle w:val="Standard"/>
              <w:rPr>
                <w:rFonts w:asciiTheme="minorHAnsi" w:hAnsiTheme="minorHAnsi" w:cstheme="minorHAnsi"/>
                <w:b/>
                <w:sz w:val="20"/>
                <w:szCs w:val="20"/>
              </w:rPr>
            </w:pPr>
            <w:r w:rsidRPr="00BE524C">
              <w:rPr>
                <w:rFonts w:asciiTheme="minorHAnsi" w:hAnsiTheme="minorHAnsi" w:cstheme="minorHAnsi"/>
                <w:b/>
                <w:sz w:val="20"/>
                <w:szCs w:val="20"/>
              </w:rPr>
              <w:t>Sentence Structure and Grammar</w:t>
            </w:r>
          </w:p>
        </w:tc>
        <w:tc>
          <w:tcPr>
            <w:tcW w:w="3118"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 xml:space="preserve">The structure of the original document is maintained and all grammar is correct.  </w:t>
            </w:r>
          </w:p>
        </w:tc>
        <w:tc>
          <w:tcPr>
            <w:tcW w:w="2462"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 xml:space="preserve">The structure and grammar is mostly maintained in the document.  </w:t>
            </w:r>
          </w:p>
        </w:tc>
        <w:tc>
          <w:tcPr>
            <w:tcW w:w="2070" w:type="dxa"/>
          </w:tcPr>
          <w:p w:rsidR="00BE524C" w:rsidRPr="00BE524C" w:rsidRDefault="00BE524C" w:rsidP="00B7561D">
            <w:pPr>
              <w:pStyle w:val="Standard"/>
              <w:rPr>
                <w:rFonts w:asciiTheme="minorHAnsi" w:hAnsiTheme="minorHAnsi" w:cstheme="minorHAnsi"/>
                <w:sz w:val="20"/>
                <w:szCs w:val="20"/>
              </w:rPr>
            </w:pPr>
            <w:r w:rsidRPr="00BE524C">
              <w:rPr>
                <w:rFonts w:asciiTheme="minorHAnsi" w:hAnsiTheme="minorHAnsi" w:cstheme="minorHAnsi"/>
                <w:sz w:val="20"/>
                <w:szCs w:val="20"/>
              </w:rPr>
              <w:t xml:space="preserve">Grammar is ignored and there are gross mistakes. </w:t>
            </w:r>
          </w:p>
        </w:tc>
      </w:tr>
    </w:tbl>
    <w:p w:rsidR="002A165C" w:rsidRDefault="002A165C" w:rsidP="002A165C">
      <w:pPr>
        <w:rPr>
          <w:sz w:val="24"/>
          <w:szCs w:val="24"/>
        </w:rPr>
      </w:pPr>
    </w:p>
    <w:p w:rsidR="002A165C" w:rsidRDefault="002A165C" w:rsidP="002A165C">
      <w:pPr>
        <w:rPr>
          <w:sz w:val="24"/>
          <w:szCs w:val="24"/>
        </w:rPr>
      </w:pPr>
      <w:r>
        <w:rPr>
          <w:sz w:val="24"/>
          <w:szCs w:val="24"/>
        </w:rPr>
        <w:pict>
          <v:rect id="_x0000_i1050" style="width:0;height:1.5pt" o:hralign="center" o:bullet="t" o:hrstd="t" o:hr="t" fillcolor="#a0a0a0" stroked="f"/>
        </w:pict>
      </w:r>
    </w:p>
    <w:p w:rsidR="002A165C" w:rsidRPr="00B530B9" w:rsidRDefault="002A165C" w:rsidP="002A165C">
      <w:pPr>
        <w:rPr>
          <w:rFonts w:cstheme="minorHAnsi"/>
          <w:b/>
          <w:sz w:val="20"/>
          <w:szCs w:val="20"/>
        </w:rPr>
      </w:pPr>
      <w:r w:rsidRPr="00B530B9">
        <w:rPr>
          <w:rFonts w:cstheme="minorHAnsi"/>
          <w:b/>
          <w:sz w:val="20"/>
          <w:szCs w:val="20"/>
        </w:rPr>
        <w:t>Now, record four views the Lawyer espouses in his letter to the Banker. Write whether you agree or disagree with the Lawyer and explain your reasoning.</w:t>
      </w:r>
    </w:p>
    <w:tbl>
      <w:tblPr>
        <w:tblStyle w:val="TableGrid"/>
        <w:tblW w:w="0" w:type="auto"/>
        <w:tblLook w:val="04A0" w:firstRow="1" w:lastRow="0" w:firstColumn="1" w:lastColumn="0" w:noHBand="0" w:noVBand="1"/>
      </w:tblPr>
      <w:tblGrid>
        <w:gridCol w:w="3343"/>
        <w:gridCol w:w="1109"/>
        <w:gridCol w:w="5762"/>
      </w:tblGrid>
      <w:tr w:rsidR="00BF0F36" w:rsidRPr="005F6921" w:rsidTr="002A165C">
        <w:tc>
          <w:tcPr>
            <w:tcW w:w="3411" w:type="dxa"/>
          </w:tcPr>
          <w:p w:rsidR="002A165C" w:rsidRPr="005F6921" w:rsidRDefault="002A165C" w:rsidP="00B7561D">
            <w:pPr>
              <w:pStyle w:val="NormalWeb"/>
              <w:jc w:val="center"/>
              <w:rPr>
                <w:b/>
                <w:sz w:val="22"/>
                <w:szCs w:val="22"/>
              </w:rPr>
            </w:pPr>
            <w:r>
              <w:rPr>
                <w:b/>
                <w:sz w:val="22"/>
                <w:szCs w:val="22"/>
              </w:rPr>
              <w:t>Lawyer’s View</w:t>
            </w:r>
          </w:p>
        </w:tc>
        <w:tc>
          <w:tcPr>
            <w:tcW w:w="904" w:type="dxa"/>
          </w:tcPr>
          <w:p w:rsidR="002A165C" w:rsidRPr="005F6921" w:rsidRDefault="00BF0F36" w:rsidP="00B7561D">
            <w:pPr>
              <w:pStyle w:val="NormalWeb"/>
              <w:jc w:val="center"/>
              <w:rPr>
                <w:b/>
                <w:sz w:val="22"/>
                <w:szCs w:val="22"/>
              </w:rPr>
            </w:pPr>
            <w:r>
              <w:rPr>
                <w:b/>
                <w:sz w:val="22"/>
                <w:szCs w:val="22"/>
              </w:rPr>
              <w:t>Do you agree or d</w:t>
            </w:r>
            <w:r w:rsidR="002A165C" w:rsidRPr="005F6921">
              <w:rPr>
                <w:b/>
                <w:sz w:val="22"/>
                <w:szCs w:val="22"/>
              </w:rPr>
              <w:t>isagree</w:t>
            </w:r>
            <w:r>
              <w:rPr>
                <w:b/>
                <w:sz w:val="22"/>
                <w:szCs w:val="22"/>
              </w:rPr>
              <w:t>?</w:t>
            </w:r>
          </w:p>
        </w:tc>
        <w:tc>
          <w:tcPr>
            <w:tcW w:w="5899" w:type="dxa"/>
          </w:tcPr>
          <w:p w:rsidR="002A165C" w:rsidRPr="005F6921" w:rsidRDefault="002A165C" w:rsidP="00B7561D">
            <w:pPr>
              <w:pStyle w:val="NormalWeb"/>
              <w:jc w:val="center"/>
              <w:rPr>
                <w:b/>
                <w:sz w:val="22"/>
                <w:szCs w:val="22"/>
              </w:rPr>
            </w:pPr>
            <w:r>
              <w:rPr>
                <w:b/>
                <w:sz w:val="22"/>
                <w:szCs w:val="22"/>
              </w:rPr>
              <w:t>Explain why you either agree or disagree with the Lawyer’s philosophy of life.</w:t>
            </w:r>
          </w:p>
        </w:tc>
      </w:tr>
      <w:tr w:rsidR="00BF0F36" w:rsidTr="002A165C">
        <w:tc>
          <w:tcPr>
            <w:tcW w:w="3411" w:type="dxa"/>
          </w:tcPr>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BF0F36" w:rsidRDefault="00BF0F36" w:rsidP="00B7561D">
            <w:pPr>
              <w:pStyle w:val="NormalWeb"/>
              <w:rPr>
                <w:sz w:val="22"/>
                <w:szCs w:val="22"/>
              </w:rPr>
            </w:pPr>
          </w:p>
          <w:p w:rsidR="002A165C" w:rsidRDefault="002A165C" w:rsidP="00B7561D">
            <w:pPr>
              <w:pStyle w:val="NormalWeb"/>
              <w:rPr>
                <w:sz w:val="22"/>
                <w:szCs w:val="22"/>
              </w:rPr>
            </w:pPr>
          </w:p>
        </w:tc>
        <w:tc>
          <w:tcPr>
            <w:tcW w:w="904" w:type="dxa"/>
          </w:tcPr>
          <w:p w:rsidR="002A165C" w:rsidRDefault="002A165C" w:rsidP="00B7561D">
            <w:pPr>
              <w:pStyle w:val="NormalWeb"/>
              <w:rPr>
                <w:sz w:val="22"/>
                <w:szCs w:val="22"/>
              </w:rPr>
            </w:pPr>
          </w:p>
        </w:tc>
        <w:tc>
          <w:tcPr>
            <w:tcW w:w="5899" w:type="dxa"/>
          </w:tcPr>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tc>
      </w:tr>
      <w:tr w:rsidR="00BF0F36" w:rsidTr="002A165C">
        <w:tc>
          <w:tcPr>
            <w:tcW w:w="3411" w:type="dxa"/>
          </w:tcPr>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BF0F36" w:rsidRDefault="00BF0F36" w:rsidP="00B7561D">
            <w:pPr>
              <w:pStyle w:val="NormalWeb"/>
              <w:rPr>
                <w:sz w:val="22"/>
                <w:szCs w:val="22"/>
              </w:rPr>
            </w:pPr>
          </w:p>
          <w:p w:rsidR="00BF0F36" w:rsidRDefault="00BF0F36" w:rsidP="00B7561D">
            <w:pPr>
              <w:pStyle w:val="NormalWeb"/>
              <w:rPr>
                <w:sz w:val="22"/>
                <w:szCs w:val="22"/>
              </w:rPr>
            </w:pPr>
          </w:p>
        </w:tc>
        <w:tc>
          <w:tcPr>
            <w:tcW w:w="904" w:type="dxa"/>
          </w:tcPr>
          <w:p w:rsidR="002A165C" w:rsidRDefault="002A165C" w:rsidP="00B7561D">
            <w:pPr>
              <w:pStyle w:val="NormalWeb"/>
              <w:rPr>
                <w:sz w:val="22"/>
                <w:szCs w:val="22"/>
              </w:rPr>
            </w:pPr>
          </w:p>
        </w:tc>
        <w:tc>
          <w:tcPr>
            <w:tcW w:w="5899" w:type="dxa"/>
          </w:tcPr>
          <w:p w:rsidR="002A165C" w:rsidRDefault="002A165C" w:rsidP="00B7561D">
            <w:pPr>
              <w:pStyle w:val="NormalWeb"/>
              <w:rPr>
                <w:sz w:val="22"/>
                <w:szCs w:val="22"/>
              </w:rPr>
            </w:pPr>
          </w:p>
        </w:tc>
      </w:tr>
      <w:tr w:rsidR="00BF0F36" w:rsidTr="002A165C">
        <w:tc>
          <w:tcPr>
            <w:tcW w:w="3411" w:type="dxa"/>
          </w:tcPr>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BF0F36" w:rsidRDefault="00BF0F36" w:rsidP="00B7561D">
            <w:pPr>
              <w:pStyle w:val="NormalWeb"/>
              <w:rPr>
                <w:sz w:val="22"/>
                <w:szCs w:val="22"/>
              </w:rPr>
            </w:pPr>
          </w:p>
          <w:p w:rsidR="00BF0F36" w:rsidRDefault="00BF0F36" w:rsidP="00B7561D">
            <w:pPr>
              <w:pStyle w:val="NormalWeb"/>
              <w:rPr>
                <w:sz w:val="22"/>
                <w:szCs w:val="22"/>
              </w:rPr>
            </w:pPr>
          </w:p>
        </w:tc>
        <w:tc>
          <w:tcPr>
            <w:tcW w:w="904" w:type="dxa"/>
          </w:tcPr>
          <w:p w:rsidR="002A165C" w:rsidRDefault="002A165C" w:rsidP="00B7561D">
            <w:pPr>
              <w:pStyle w:val="NormalWeb"/>
              <w:rPr>
                <w:sz w:val="22"/>
                <w:szCs w:val="22"/>
              </w:rPr>
            </w:pPr>
          </w:p>
        </w:tc>
        <w:tc>
          <w:tcPr>
            <w:tcW w:w="5899" w:type="dxa"/>
          </w:tcPr>
          <w:p w:rsidR="002A165C" w:rsidRDefault="002A165C" w:rsidP="00B7561D">
            <w:pPr>
              <w:pStyle w:val="NormalWeb"/>
              <w:rPr>
                <w:sz w:val="22"/>
                <w:szCs w:val="22"/>
              </w:rPr>
            </w:pPr>
          </w:p>
        </w:tc>
      </w:tr>
      <w:tr w:rsidR="00BF0F36" w:rsidTr="002A165C">
        <w:tc>
          <w:tcPr>
            <w:tcW w:w="3411" w:type="dxa"/>
          </w:tcPr>
          <w:p w:rsidR="002A165C" w:rsidRDefault="002A165C" w:rsidP="00B7561D">
            <w:pPr>
              <w:pStyle w:val="NormalWeb"/>
              <w:rPr>
                <w:sz w:val="22"/>
                <w:szCs w:val="22"/>
              </w:rPr>
            </w:pPr>
          </w:p>
          <w:p w:rsidR="002A165C" w:rsidRDefault="002A165C" w:rsidP="00B7561D">
            <w:pPr>
              <w:pStyle w:val="NormalWeb"/>
              <w:rPr>
                <w:sz w:val="22"/>
                <w:szCs w:val="22"/>
              </w:rPr>
            </w:pPr>
          </w:p>
          <w:p w:rsidR="00BF0F36" w:rsidRDefault="00BF0F36"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tc>
        <w:tc>
          <w:tcPr>
            <w:tcW w:w="904" w:type="dxa"/>
          </w:tcPr>
          <w:p w:rsidR="002A165C" w:rsidRDefault="002A165C" w:rsidP="00B7561D">
            <w:pPr>
              <w:pStyle w:val="NormalWeb"/>
              <w:rPr>
                <w:sz w:val="22"/>
                <w:szCs w:val="22"/>
              </w:rPr>
            </w:pPr>
          </w:p>
        </w:tc>
        <w:tc>
          <w:tcPr>
            <w:tcW w:w="5899" w:type="dxa"/>
          </w:tcPr>
          <w:p w:rsidR="002A165C" w:rsidRDefault="002A165C" w:rsidP="00B7561D">
            <w:pPr>
              <w:pStyle w:val="NormalWeb"/>
              <w:rPr>
                <w:sz w:val="22"/>
                <w:szCs w:val="22"/>
              </w:rPr>
            </w:pPr>
          </w:p>
          <w:p w:rsidR="002A165C" w:rsidRDefault="002A165C" w:rsidP="00B7561D">
            <w:pPr>
              <w:pStyle w:val="NormalWeb"/>
              <w:rPr>
                <w:sz w:val="22"/>
                <w:szCs w:val="22"/>
              </w:rPr>
            </w:pPr>
          </w:p>
          <w:p w:rsidR="002A165C" w:rsidRDefault="002A165C" w:rsidP="00B7561D">
            <w:pPr>
              <w:pStyle w:val="NormalWeb"/>
              <w:rPr>
                <w:sz w:val="22"/>
                <w:szCs w:val="22"/>
              </w:rPr>
            </w:pPr>
          </w:p>
        </w:tc>
      </w:tr>
    </w:tbl>
    <w:p w:rsidR="00BE524C" w:rsidRDefault="00BE524C" w:rsidP="005A7B28">
      <w:pPr>
        <w:rPr>
          <w:rFonts w:ascii="Copperplate Gothic Bold" w:hAnsi="Copperplate Gothic Bold"/>
        </w:rPr>
      </w:pPr>
    </w:p>
    <w:p w:rsidR="002A165C" w:rsidRDefault="002A165C" w:rsidP="005A7B28">
      <w:pPr>
        <w:rPr>
          <w:rFonts w:ascii="Copperplate Gothic Bold" w:hAnsi="Copperplate Gothic Bold"/>
        </w:rPr>
      </w:pPr>
      <w:r>
        <w:rPr>
          <w:sz w:val="24"/>
          <w:szCs w:val="24"/>
        </w:rPr>
        <w:pict>
          <v:rect id="_x0000_i1051" style="width:0;height:1.5pt" o:hralign="center" o:bullet="t" o:hrstd="t" o:hr="t" fillcolor="#a0a0a0" stroked="f"/>
        </w:pict>
      </w:r>
    </w:p>
    <w:p w:rsidR="002A165C" w:rsidRDefault="002A165C" w:rsidP="005A7B28">
      <w:pPr>
        <w:rPr>
          <w:rFonts w:cstheme="minorHAnsi"/>
          <w:b/>
        </w:rPr>
      </w:pPr>
      <w:r w:rsidRPr="00992420">
        <w:rPr>
          <w:rFonts w:cstheme="minorHAnsi"/>
          <w:b/>
        </w:rPr>
        <w:t xml:space="preserve">EXIT: </w:t>
      </w:r>
      <w:r w:rsidR="00CD66D6" w:rsidRPr="00992420">
        <w:rPr>
          <w:rFonts w:cstheme="minorHAnsi"/>
          <w:b/>
        </w:rPr>
        <w:t xml:space="preserve">Identify what you think is the story’s most important passage. </w:t>
      </w:r>
      <w:r w:rsidR="00992420">
        <w:rPr>
          <w:rFonts w:cstheme="minorHAnsi"/>
          <w:b/>
        </w:rPr>
        <w:t xml:space="preserve">Why? </w:t>
      </w:r>
      <w:bookmarkStart w:id="0" w:name="_GoBack"/>
      <w:bookmarkEnd w:id="0"/>
      <w:r w:rsidR="00CD66D6" w:rsidRPr="00992420">
        <w:rPr>
          <w:rFonts w:cstheme="minorHAnsi"/>
          <w:b/>
        </w:rPr>
        <w:t>How would you interpret the theme of “the Bet?”</w:t>
      </w:r>
      <w:r w:rsidR="00992420" w:rsidRPr="00992420">
        <w:rPr>
          <w:rFonts w:cstheme="minorHAnsi"/>
          <w:b/>
        </w:rPr>
        <w:t xml:space="preserve">  Remember, the theme expresses a general insight about human life or human nature.</w:t>
      </w:r>
    </w:p>
    <w:p w:rsidR="00992420" w:rsidRPr="00992420" w:rsidRDefault="00992420" w:rsidP="00992420">
      <w:pPr>
        <w:spacing w:line="276" w:lineRule="auto"/>
        <w:rPr>
          <w:rFonts w:cstheme="minorHAnsi"/>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92420" w:rsidRPr="00992420" w:rsidSect="005A7B28">
      <w:type w:val="continuous"/>
      <w:pgSz w:w="12240" w:h="15840"/>
      <w:pgMar w:top="720" w:right="720" w:bottom="720"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28" w:rsidRDefault="005A7B28" w:rsidP="005A7B28">
      <w:pPr>
        <w:spacing w:after="0" w:line="240" w:lineRule="auto"/>
      </w:pPr>
      <w:r>
        <w:separator/>
      </w:r>
    </w:p>
  </w:endnote>
  <w:endnote w:type="continuationSeparator" w:id="0">
    <w:p w:rsidR="005A7B28" w:rsidRDefault="005A7B28" w:rsidP="005A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28" w:rsidRDefault="005A7B28" w:rsidP="005A7B28">
      <w:pPr>
        <w:spacing w:after="0" w:line="240" w:lineRule="auto"/>
      </w:pPr>
      <w:r>
        <w:separator/>
      </w:r>
    </w:p>
  </w:footnote>
  <w:footnote w:type="continuationSeparator" w:id="0">
    <w:p w:rsidR="005A7B28" w:rsidRDefault="005A7B28" w:rsidP="005A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28" w:rsidRDefault="005A7B28">
    <w:pPr>
      <w:pStyle w:val="Header"/>
    </w:pPr>
    <w:r>
      <w:t>NAME</w:t>
    </w:r>
    <w:proofErr w:type="gramStart"/>
    <w:r>
      <w:t>:</w:t>
    </w:r>
    <w:proofErr w:type="gramEnd"/>
    <w:r>
      <w:ptab w:relativeTo="margin" w:alignment="center" w:leader="none"/>
    </w:r>
    <w:r>
      <w:t>DATE:</w:t>
    </w:r>
    <w:r>
      <w:ptab w:relativeTo="margin" w:alignment="right" w:leader="none"/>
    </w: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28"/>
    <w:rsid w:val="00136424"/>
    <w:rsid w:val="001B7ED7"/>
    <w:rsid w:val="0021238A"/>
    <w:rsid w:val="002A165C"/>
    <w:rsid w:val="0030369E"/>
    <w:rsid w:val="00336D8C"/>
    <w:rsid w:val="003E6971"/>
    <w:rsid w:val="00574649"/>
    <w:rsid w:val="005A7B28"/>
    <w:rsid w:val="00732F86"/>
    <w:rsid w:val="00853162"/>
    <w:rsid w:val="008A72A0"/>
    <w:rsid w:val="0090261A"/>
    <w:rsid w:val="00992420"/>
    <w:rsid w:val="00B530B9"/>
    <w:rsid w:val="00BE524C"/>
    <w:rsid w:val="00BF0F36"/>
    <w:rsid w:val="00C71047"/>
    <w:rsid w:val="00C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6EAB"/>
  <w15:chartTrackingRefBased/>
  <w15:docId w15:val="{C9F8A2C3-C229-426C-A32A-0084C51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28"/>
  </w:style>
  <w:style w:type="paragraph" w:styleId="Footer">
    <w:name w:val="footer"/>
    <w:basedOn w:val="Normal"/>
    <w:link w:val="FooterChar"/>
    <w:uiPriority w:val="99"/>
    <w:unhideWhenUsed/>
    <w:rsid w:val="005A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28"/>
  </w:style>
  <w:style w:type="paragraph" w:styleId="NormalWeb">
    <w:name w:val="Normal (Web)"/>
    <w:basedOn w:val="Normal"/>
    <w:uiPriority w:val="99"/>
    <w:semiHidden/>
    <w:unhideWhenUsed/>
    <w:rsid w:val="005A7B2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A7B28"/>
  </w:style>
  <w:style w:type="table" w:styleId="TableGrid">
    <w:name w:val="Table Grid"/>
    <w:basedOn w:val="TableNormal"/>
    <w:uiPriority w:val="59"/>
    <w:rsid w:val="0090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7ED7"/>
    <w:rPr>
      <w:i/>
      <w:iCs/>
    </w:rPr>
  </w:style>
  <w:style w:type="paragraph" w:customStyle="1" w:styleId="Standard">
    <w:name w:val="Standard"/>
    <w:rsid w:val="00BE524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25</cp:revision>
  <dcterms:created xsi:type="dcterms:W3CDTF">2019-11-26T12:04:00Z</dcterms:created>
  <dcterms:modified xsi:type="dcterms:W3CDTF">2019-11-26T15:09:00Z</dcterms:modified>
</cp:coreProperties>
</file>