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1A296C" w:rsidP="001A296C">
      <w:pPr>
        <w:jc w:val="center"/>
        <w:rPr>
          <w:rFonts w:ascii="Copperplate Gothic Bold" w:hAnsi="Copperplate Gothic Bold"/>
        </w:rPr>
      </w:pPr>
      <w:r>
        <w:rPr>
          <w:rFonts w:ascii="Copperplate Gothic Bold" w:hAnsi="Copperplate Gothic Bold"/>
        </w:rPr>
        <w:t>DOUBLE ENTRY JOURNAL ASSIGNMENT INFORMATION</w:t>
      </w:r>
    </w:p>
    <w:p w:rsidR="001A296C" w:rsidRDefault="001A296C" w:rsidP="001A296C">
      <w:r w:rsidRPr="00F5222D">
        <w:rPr>
          <w:b/>
          <w:u w:val="single"/>
        </w:rPr>
        <w:t>Objective:</w:t>
      </w:r>
      <w:r>
        <w:t xml:space="preserve">  Given the guidelines to a double-entry journal, which will foster improvements with comprehension, vocabulary and content retention, we will create a variety of connections</w:t>
      </w:r>
      <w:r>
        <w:t xml:space="preserve"> by reading our short stories and</w:t>
      </w:r>
      <w:r>
        <w:t xml:space="preserve"> </w:t>
      </w:r>
      <w:r>
        <w:t>novels.</w:t>
      </w:r>
    </w:p>
    <w:p w:rsidR="001A296C" w:rsidRDefault="001A296C" w:rsidP="001A296C">
      <w:r w:rsidRPr="00F5222D">
        <w:rPr>
          <w:b/>
          <w:u w:val="single"/>
        </w:rPr>
        <w:t>Goal:</w:t>
      </w:r>
      <w:r w:rsidRPr="004B5197">
        <w:t xml:space="preserve"> </w:t>
      </w:r>
      <w:r>
        <w:t xml:space="preserve"> This will help me by:</w:t>
      </w:r>
    </w:p>
    <w:p w:rsidR="001A296C" w:rsidRPr="00721579" w:rsidRDefault="001A296C" w:rsidP="001A296C">
      <w:pPr>
        <w:widowControl w:val="0"/>
        <w:numPr>
          <w:ilvl w:val="0"/>
          <w:numId w:val="1"/>
        </w:numPr>
        <w:autoSpaceDE w:val="0"/>
        <w:autoSpaceDN w:val="0"/>
        <w:adjustRightInd w:val="0"/>
        <w:spacing w:after="0" w:line="240" w:lineRule="auto"/>
      </w:pPr>
      <w:r w:rsidRPr="00721579">
        <w:t>Reacting to a</w:t>
      </w:r>
      <w:r>
        <w:t>n</w:t>
      </w:r>
      <w:r w:rsidRPr="00721579">
        <w:t xml:space="preserve"> author’s main idea, topic development, argument, etc.</w:t>
      </w:r>
    </w:p>
    <w:p w:rsidR="001A296C" w:rsidRPr="00721579" w:rsidRDefault="001A296C" w:rsidP="001A296C">
      <w:pPr>
        <w:widowControl w:val="0"/>
        <w:numPr>
          <w:ilvl w:val="0"/>
          <w:numId w:val="1"/>
        </w:numPr>
        <w:autoSpaceDE w:val="0"/>
        <w:autoSpaceDN w:val="0"/>
        <w:adjustRightInd w:val="0"/>
        <w:spacing w:after="0" w:line="240" w:lineRule="auto"/>
      </w:pPr>
      <w:r>
        <w:t>K</w:t>
      </w:r>
      <w:r w:rsidRPr="00721579">
        <w:t>eeping track of my learning during question and answer sessions</w:t>
      </w:r>
    </w:p>
    <w:p w:rsidR="001A296C" w:rsidRPr="00721579" w:rsidRDefault="001A296C" w:rsidP="001A296C">
      <w:pPr>
        <w:widowControl w:val="0"/>
        <w:numPr>
          <w:ilvl w:val="0"/>
          <w:numId w:val="1"/>
        </w:numPr>
        <w:autoSpaceDE w:val="0"/>
        <w:autoSpaceDN w:val="0"/>
        <w:adjustRightInd w:val="0"/>
        <w:spacing w:after="0" w:line="240" w:lineRule="auto"/>
      </w:pPr>
      <w:r>
        <w:t>L</w:t>
      </w:r>
      <w:r w:rsidRPr="00721579">
        <w:t xml:space="preserve">ooking at specific lines and passages for clarity of meaning </w:t>
      </w:r>
    </w:p>
    <w:p w:rsidR="001A296C" w:rsidRDefault="001A296C" w:rsidP="001A296C">
      <w:pPr>
        <w:numPr>
          <w:ilvl w:val="0"/>
          <w:numId w:val="1"/>
        </w:numPr>
        <w:spacing w:after="0" w:line="240" w:lineRule="auto"/>
      </w:pPr>
      <w:r>
        <w:t>Analyzing the purpose of different aspects of imagery, figurative language, theme, etc.</w:t>
      </w:r>
    </w:p>
    <w:p w:rsidR="001A296C" w:rsidRDefault="001A296C" w:rsidP="001A296C">
      <w:pPr>
        <w:widowControl w:val="0"/>
        <w:numPr>
          <w:ilvl w:val="0"/>
          <w:numId w:val="1"/>
        </w:numPr>
        <w:autoSpaceDE w:val="0"/>
        <w:autoSpaceDN w:val="0"/>
        <w:adjustRightInd w:val="0"/>
        <w:spacing w:after="0" w:line="240" w:lineRule="auto"/>
        <w:rPr>
          <w:rFonts w:cs="Courier New"/>
        </w:rPr>
      </w:pPr>
      <w:r w:rsidRPr="00F5222D">
        <w:rPr>
          <w:rFonts w:cs="Courier New"/>
        </w:rPr>
        <w:t>Interpreting a line of poetry or to decide how they feel about a character (words, actions, etc.)</w:t>
      </w:r>
    </w:p>
    <w:p w:rsidR="001A296C" w:rsidRDefault="001A296C" w:rsidP="001A296C">
      <w:pPr>
        <w:widowControl w:val="0"/>
        <w:autoSpaceDE w:val="0"/>
        <w:autoSpaceDN w:val="0"/>
        <w:adjustRightInd w:val="0"/>
        <w:spacing w:after="0" w:line="240" w:lineRule="auto"/>
        <w:rPr>
          <w:rFonts w:cs="Courier New"/>
        </w:rPr>
      </w:pPr>
      <w:r>
        <w:rPr>
          <w:rFonts w:cs="Courier New"/>
        </w:rPr>
        <w:pict>
          <v:rect id="_x0000_i1025" style="width:0;height:1.5pt" o:hralign="center" o:hrstd="t" o:hr="t" fillcolor="#a0a0a0" stroked="f"/>
        </w:pict>
      </w:r>
    </w:p>
    <w:p w:rsidR="001A296C" w:rsidRPr="001A296C" w:rsidRDefault="001A296C" w:rsidP="006969BA">
      <w:pPr>
        <w:numPr>
          <w:ilvl w:val="0"/>
          <w:numId w:val="2"/>
        </w:numPr>
        <w:spacing w:after="0" w:line="240" w:lineRule="auto"/>
        <w:rPr>
          <w:i/>
        </w:rPr>
      </w:pPr>
      <w:r>
        <w:t>Your Double-Entry Jo</w:t>
      </w:r>
      <w:r>
        <w:t xml:space="preserve">urnal must be </w:t>
      </w:r>
      <w:r w:rsidRPr="001A296C">
        <w:rPr>
          <w:b/>
          <w:i/>
        </w:rPr>
        <w:t>neatly handwritten</w:t>
      </w:r>
      <w:r>
        <w:t xml:space="preserve">. </w:t>
      </w:r>
      <w:r>
        <w:t>If I can’t read your responses, you will not earn any credit for the entry.</w:t>
      </w:r>
    </w:p>
    <w:p w:rsidR="001A296C" w:rsidRPr="001A296C" w:rsidRDefault="001A296C" w:rsidP="001A296C">
      <w:pPr>
        <w:spacing w:after="0" w:line="240" w:lineRule="auto"/>
        <w:ind w:left="720"/>
        <w:rPr>
          <w:i/>
        </w:rPr>
      </w:pPr>
    </w:p>
    <w:p w:rsidR="001A296C" w:rsidRDefault="001A296C" w:rsidP="001A296C">
      <w:pPr>
        <w:numPr>
          <w:ilvl w:val="1"/>
          <w:numId w:val="2"/>
        </w:numPr>
        <w:spacing w:after="0" w:line="240" w:lineRule="auto"/>
        <w:rPr>
          <w:i/>
        </w:rPr>
      </w:pPr>
      <w:r w:rsidRPr="00FA682D">
        <w:t xml:space="preserve">The </w:t>
      </w:r>
      <w:r w:rsidRPr="00FA682D">
        <w:rPr>
          <w:b/>
        </w:rPr>
        <w:t xml:space="preserve">left side </w:t>
      </w:r>
      <w:r w:rsidRPr="00FA682D">
        <w:t xml:space="preserve">must contain </w:t>
      </w:r>
      <w:r>
        <w:t xml:space="preserve">examples of imagery, figurative language or a quotation </w:t>
      </w:r>
      <w:r w:rsidRPr="00FA682D">
        <w:t xml:space="preserve">from the reading with page numbers noted.  </w:t>
      </w:r>
      <w:r w:rsidRPr="00FA682D">
        <w:rPr>
          <w:i/>
        </w:rPr>
        <w:t>Should you wish to refer to a particularly large selection, you may paraphrase it.</w:t>
      </w:r>
    </w:p>
    <w:p w:rsidR="001A296C" w:rsidRDefault="001A296C" w:rsidP="001A296C">
      <w:pPr>
        <w:numPr>
          <w:ilvl w:val="1"/>
          <w:numId w:val="2"/>
        </w:numPr>
        <w:spacing w:after="0" w:line="240" w:lineRule="auto"/>
      </w:pPr>
      <w:r w:rsidRPr="00621DE3">
        <w:t xml:space="preserve">The </w:t>
      </w:r>
      <w:r w:rsidRPr="00621DE3">
        <w:rPr>
          <w:b/>
        </w:rPr>
        <w:t>right side</w:t>
      </w:r>
      <w:r>
        <w:t xml:space="preserve"> must comment on </w:t>
      </w:r>
      <w:r w:rsidRPr="00621DE3">
        <w:t>these points.  Your rig</w:t>
      </w:r>
      <w:r>
        <w:t>ht side can respond to prompts</w:t>
      </w:r>
      <w:r w:rsidRPr="00621DE3">
        <w:t xml:space="preserve"> such as:</w:t>
      </w:r>
    </w:p>
    <w:p w:rsidR="001A296C" w:rsidRDefault="001A296C" w:rsidP="001A296C">
      <w:pPr>
        <w:spacing w:after="0" w:line="240" w:lineRule="auto"/>
        <w:ind w:left="1440"/>
      </w:pPr>
    </w:p>
    <w:p w:rsidR="001A296C" w:rsidRDefault="001A296C" w:rsidP="001A296C">
      <w:pPr>
        <w:pStyle w:val="Heading1"/>
        <w:rPr>
          <w:rFonts w:ascii="Arial" w:hAnsi="Arial" w:cs="Arial"/>
          <w:sz w:val="20"/>
        </w:rPr>
      </w:pPr>
      <w:r>
        <w:rPr>
          <w:rFonts w:ascii="Arial" w:hAnsi="Arial" w:cs="Arial"/>
          <w:sz w:val="20"/>
        </w:rPr>
        <w:t>Analytical response</w:t>
      </w:r>
    </w:p>
    <w:p w:rsidR="001A296C" w:rsidRDefault="001A296C" w:rsidP="001A296C">
      <w:pPr>
        <w:numPr>
          <w:ilvl w:val="0"/>
          <w:numId w:val="3"/>
        </w:numPr>
        <w:spacing w:after="0" w:line="240" w:lineRule="auto"/>
        <w:rPr>
          <w:rFonts w:ascii="Arial" w:hAnsi="Arial" w:cs="Arial"/>
          <w:b/>
          <w:bCs/>
          <w:sz w:val="20"/>
        </w:rPr>
      </w:pPr>
      <w:r>
        <w:rPr>
          <w:rFonts w:ascii="Arial" w:hAnsi="Arial" w:cs="Arial"/>
          <w:b/>
          <w:bCs/>
          <w:sz w:val="20"/>
          <w:u w:val="single"/>
        </w:rPr>
        <w:t>ANALYZE</w:t>
      </w:r>
      <w:r>
        <w:rPr>
          <w:rFonts w:ascii="Arial" w:hAnsi="Arial" w:cs="Arial"/>
          <w:b/>
          <w:bCs/>
          <w:sz w:val="20"/>
        </w:rPr>
        <w:t xml:space="preserve"> means to break down into smaller parts and examine critically.</w:t>
      </w:r>
    </w:p>
    <w:p w:rsidR="001A296C" w:rsidRDefault="001A296C" w:rsidP="001A296C">
      <w:pPr>
        <w:numPr>
          <w:ilvl w:val="0"/>
          <w:numId w:val="3"/>
        </w:numPr>
        <w:spacing w:after="0" w:line="240" w:lineRule="auto"/>
        <w:rPr>
          <w:rFonts w:ascii="Arial" w:hAnsi="Arial" w:cs="Arial"/>
          <w:b/>
          <w:bCs/>
          <w:sz w:val="20"/>
        </w:rPr>
      </w:pPr>
      <w:r>
        <w:rPr>
          <w:rFonts w:ascii="Arial" w:hAnsi="Arial" w:cs="Arial"/>
          <w:b/>
          <w:bCs/>
          <w:sz w:val="20"/>
        </w:rPr>
        <w:t>Examine a part of the story: character, plot, mood, setting, theme, and point of view.</w:t>
      </w:r>
    </w:p>
    <w:p w:rsidR="001A296C" w:rsidRDefault="001A296C" w:rsidP="001A296C">
      <w:pPr>
        <w:numPr>
          <w:ilvl w:val="0"/>
          <w:numId w:val="3"/>
        </w:numPr>
        <w:spacing w:after="0" w:line="240" w:lineRule="auto"/>
        <w:rPr>
          <w:rFonts w:ascii="Arial" w:hAnsi="Arial" w:cs="Arial"/>
          <w:b/>
          <w:bCs/>
          <w:sz w:val="20"/>
        </w:rPr>
      </w:pPr>
      <w:r>
        <w:rPr>
          <w:rFonts w:ascii="Arial" w:hAnsi="Arial" w:cs="Arial"/>
          <w:b/>
          <w:bCs/>
          <w:sz w:val="20"/>
        </w:rPr>
        <w:t>Examine the writer’s style: word choice, sequencing of events, character development, literary devices, sentence style, and point of view</w:t>
      </w:r>
    </w:p>
    <w:p w:rsidR="001A296C" w:rsidRDefault="001A296C" w:rsidP="001A296C">
      <w:pPr>
        <w:numPr>
          <w:ilvl w:val="0"/>
          <w:numId w:val="3"/>
        </w:numPr>
        <w:spacing w:after="0" w:line="240" w:lineRule="auto"/>
        <w:rPr>
          <w:rFonts w:ascii="Arial" w:hAnsi="Arial" w:cs="Arial"/>
          <w:b/>
          <w:bCs/>
          <w:sz w:val="20"/>
        </w:rPr>
      </w:pPr>
      <w:r>
        <w:rPr>
          <w:rFonts w:ascii="Arial" w:hAnsi="Arial" w:cs="Arial"/>
          <w:b/>
          <w:bCs/>
          <w:sz w:val="20"/>
        </w:rPr>
        <w:t>Sentence starters</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A problem this character has is ___.  I know this problem is significant because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A message the author is trying to give through ___(character’s actions, setting, mood) is ___</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author is doing a good/poor job of “showing not telling.”  I think this because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I like/don’t like when the author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character’s attitude about ___ is ___.  I think this because…</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author has created a ___ mood by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author uses ___(literary device: foreshadowing, flashback, allusion) to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author develops the character well/poorly by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My thinking has changed in this way . . .</w:t>
      </w:r>
    </w:p>
    <w:p w:rsidR="001A296C" w:rsidRDefault="001A296C" w:rsidP="001A296C">
      <w:pPr>
        <w:numPr>
          <w:ilvl w:val="1"/>
          <w:numId w:val="3"/>
        </w:numPr>
        <w:spacing w:after="0" w:line="240" w:lineRule="auto"/>
        <w:rPr>
          <w:rFonts w:ascii="Arial" w:hAnsi="Arial" w:cs="Arial"/>
          <w:b/>
          <w:bCs/>
          <w:sz w:val="20"/>
        </w:rPr>
      </w:pPr>
      <w:r>
        <w:rPr>
          <w:rFonts w:ascii="Arial" w:hAnsi="Arial" w:cs="Arial"/>
          <w:sz w:val="20"/>
        </w:rPr>
        <w:t>The most important part is . . .</w:t>
      </w:r>
    </w:p>
    <w:p w:rsidR="001A296C" w:rsidRPr="001A296C" w:rsidRDefault="001A296C" w:rsidP="001A296C">
      <w:pPr>
        <w:numPr>
          <w:ilvl w:val="1"/>
          <w:numId w:val="3"/>
        </w:numPr>
        <w:spacing w:after="0" w:line="240" w:lineRule="auto"/>
        <w:rPr>
          <w:rFonts w:ascii="Arial" w:hAnsi="Arial" w:cs="Arial"/>
          <w:b/>
          <w:bCs/>
          <w:sz w:val="20"/>
        </w:rPr>
      </w:pPr>
      <w:r>
        <w:rPr>
          <w:rFonts w:ascii="Arial" w:hAnsi="Arial" w:cs="Arial"/>
          <w:sz w:val="20"/>
        </w:rPr>
        <w:t>I infer . . .</w:t>
      </w:r>
    </w:p>
    <w:p w:rsidR="001A296C" w:rsidRDefault="001A296C" w:rsidP="001A296C">
      <w:pPr>
        <w:pStyle w:val="Heading1"/>
        <w:rPr>
          <w:rFonts w:ascii="Arial" w:hAnsi="Arial" w:cs="Arial"/>
          <w:sz w:val="20"/>
        </w:rPr>
      </w:pPr>
      <w:r>
        <w:rPr>
          <w:rFonts w:ascii="Arial" w:hAnsi="Arial" w:cs="Arial"/>
          <w:sz w:val="20"/>
        </w:rPr>
        <w:t>Question</w:t>
      </w:r>
    </w:p>
    <w:p w:rsidR="001A296C" w:rsidRDefault="001A296C" w:rsidP="001A296C">
      <w:pPr>
        <w:numPr>
          <w:ilvl w:val="0"/>
          <w:numId w:val="4"/>
        </w:numPr>
        <w:spacing w:after="0" w:line="240" w:lineRule="auto"/>
        <w:rPr>
          <w:rFonts w:ascii="Arial" w:hAnsi="Arial" w:cs="Arial"/>
          <w:b/>
          <w:bCs/>
          <w:sz w:val="20"/>
        </w:rPr>
      </w:pPr>
      <w:r>
        <w:rPr>
          <w:rFonts w:ascii="Arial" w:hAnsi="Arial" w:cs="Arial"/>
          <w:b/>
          <w:bCs/>
          <w:sz w:val="20"/>
        </w:rPr>
        <w:t>Question text you do not understand or that confuses you.</w:t>
      </w:r>
    </w:p>
    <w:p w:rsidR="001A296C" w:rsidRDefault="001A296C" w:rsidP="001A296C">
      <w:pPr>
        <w:numPr>
          <w:ilvl w:val="0"/>
          <w:numId w:val="4"/>
        </w:numPr>
        <w:spacing w:after="0" w:line="240" w:lineRule="auto"/>
        <w:rPr>
          <w:rFonts w:ascii="Arial" w:hAnsi="Arial" w:cs="Arial"/>
          <w:b/>
          <w:bCs/>
          <w:sz w:val="20"/>
        </w:rPr>
      </w:pPr>
      <w:r>
        <w:rPr>
          <w:rFonts w:ascii="Arial" w:hAnsi="Arial" w:cs="Arial"/>
          <w:b/>
          <w:bCs/>
          <w:sz w:val="20"/>
        </w:rPr>
        <w:t>Question the author.</w:t>
      </w:r>
    </w:p>
    <w:p w:rsidR="001A296C" w:rsidRDefault="001A296C" w:rsidP="001A296C">
      <w:pPr>
        <w:numPr>
          <w:ilvl w:val="0"/>
          <w:numId w:val="4"/>
        </w:numPr>
        <w:spacing w:after="0" w:line="240" w:lineRule="auto"/>
        <w:rPr>
          <w:rFonts w:ascii="Arial" w:hAnsi="Arial" w:cs="Arial"/>
          <w:b/>
          <w:bCs/>
          <w:i/>
          <w:iCs/>
          <w:sz w:val="20"/>
        </w:rPr>
      </w:pPr>
      <w:r>
        <w:rPr>
          <w:rFonts w:ascii="Arial" w:hAnsi="Arial" w:cs="Arial"/>
          <w:b/>
          <w:bCs/>
          <w:sz w:val="20"/>
        </w:rPr>
        <w:t xml:space="preserve">Question things you have never thought about in order to gain a greater understanding of new concepts.  This is the </w:t>
      </w:r>
      <w:r>
        <w:rPr>
          <w:rFonts w:ascii="Arial" w:hAnsi="Arial" w:cs="Arial"/>
          <w:b/>
          <w:bCs/>
          <w:i/>
          <w:iCs/>
          <w:sz w:val="20"/>
        </w:rPr>
        <w:t xml:space="preserve">I wonder </w:t>
      </w:r>
      <w:r>
        <w:rPr>
          <w:rFonts w:ascii="Arial" w:hAnsi="Arial" w:cs="Arial"/>
          <w:b/>
          <w:bCs/>
          <w:sz w:val="20"/>
        </w:rPr>
        <w:t xml:space="preserve">question, </w:t>
      </w:r>
      <w:r>
        <w:rPr>
          <w:rFonts w:ascii="Arial" w:hAnsi="Arial" w:cs="Arial"/>
          <w:b/>
          <w:bCs/>
          <w:i/>
          <w:iCs/>
          <w:sz w:val="20"/>
        </w:rPr>
        <w:t>e.g</w:t>
      </w:r>
      <w:r>
        <w:rPr>
          <w:rFonts w:ascii="Arial" w:hAnsi="Arial" w:cs="Arial"/>
          <w:b/>
          <w:bCs/>
          <w:sz w:val="20"/>
        </w:rPr>
        <w:t xml:space="preserve">., </w:t>
      </w:r>
      <w:r>
        <w:rPr>
          <w:rFonts w:ascii="Arial" w:hAnsi="Arial" w:cs="Arial"/>
          <w:b/>
          <w:bCs/>
          <w:i/>
          <w:iCs/>
          <w:sz w:val="20"/>
        </w:rPr>
        <w:t xml:space="preserve">I wonder how Harry Potter’s decision to leave Hogwarts in his final year to search for Voldemort will affect his reliance on the friendship he has with Ron and </w:t>
      </w:r>
      <w:proofErr w:type="spellStart"/>
      <w:r>
        <w:rPr>
          <w:rFonts w:ascii="Arial" w:hAnsi="Arial" w:cs="Arial"/>
          <w:b/>
          <w:bCs/>
          <w:i/>
          <w:iCs/>
          <w:sz w:val="20"/>
        </w:rPr>
        <w:t>Hermoine</w:t>
      </w:r>
      <w:proofErr w:type="spellEnd"/>
      <w:r>
        <w:rPr>
          <w:rFonts w:ascii="Arial" w:hAnsi="Arial" w:cs="Arial"/>
          <w:b/>
          <w:bCs/>
          <w:i/>
          <w:iCs/>
          <w:sz w:val="20"/>
        </w:rPr>
        <w:t>.</w:t>
      </w:r>
    </w:p>
    <w:p w:rsidR="001A296C" w:rsidRDefault="001A296C" w:rsidP="001A296C">
      <w:pPr>
        <w:numPr>
          <w:ilvl w:val="0"/>
          <w:numId w:val="4"/>
        </w:numPr>
        <w:spacing w:after="0" w:line="240" w:lineRule="auto"/>
        <w:rPr>
          <w:rFonts w:ascii="Arial" w:hAnsi="Arial" w:cs="Arial"/>
          <w:b/>
          <w:bCs/>
          <w:sz w:val="20"/>
        </w:rPr>
      </w:pPr>
      <w:r>
        <w:rPr>
          <w:rFonts w:ascii="Arial" w:hAnsi="Arial" w:cs="Arial"/>
          <w:b/>
          <w:bCs/>
          <w:sz w:val="20"/>
        </w:rPr>
        <w:t>Question yourself and your own beliefs or understandings if the text prompts you to do so.</w:t>
      </w:r>
    </w:p>
    <w:p w:rsidR="001A296C" w:rsidRDefault="001A296C" w:rsidP="001437C1">
      <w:pPr>
        <w:numPr>
          <w:ilvl w:val="0"/>
          <w:numId w:val="4"/>
        </w:numPr>
        <w:spacing w:after="0" w:line="240" w:lineRule="auto"/>
        <w:rPr>
          <w:rFonts w:ascii="Arial" w:hAnsi="Arial" w:cs="Arial"/>
          <w:b/>
          <w:bCs/>
          <w:sz w:val="20"/>
        </w:rPr>
      </w:pPr>
      <w:r>
        <w:rPr>
          <w:rFonts w:ascii="Arial" w:hAnsi="Arial" w:cs="Arial"/>
          <w:b/>
          <w:bCs/>
          <w:sz w:val="20"/>
        </w:rPr>
        <w:t>Sentence starters</w:t>
      </w:r>
    </w:p>
    <w:p w:rsidR="001A296C" w:rsidRDefault="001A296C" w:rsidP="001A296C">
      <w:pPr>
        <w:numPr>
          <w:ilvl w:val="1"/>
          <w:numId w:val="4"/>
        </w:numPr>
        <w:spacing w:after="0" w:line="240" w:lineRule="auto"/>
        <w:rPr>
          <w:rFonts w:ascii="Arial" w:hAnsi="Arial" w:cs="Arial"/>
          <w:b/>
          <w:bCs/>
          <w:sz w:val="20"/>
        </w:rPr>
      </w:pPr>
      <w:r>
        <w:rPr>
          <w:rFonts w:ascii="Arial" w:hAnsi="Arial" w:cs="Arial"/>
          <w:sz w:val="20"/>
        </w:rPr>
        <w:t>I am confused and this is how I got unstuck . . .</w:t>
      </w:r>
    </w:p>
    <w:p w:rsidR="001A296C" w:rsidRDefault="001A296C" w:rsidP="001A296C">
      <w:pPr>
        <w:numPr>
          <w:ilvl w:val="1"/>
          <w:numId w:val="4"/>
        </w:numPr>
        <w:spacing w:after="0" w:line="240" w:lineRule="auto"/>
        <w:rPr>
          <w:rFonts w:ascii="Arial" w:hAnsi="Arial" w:cs="Arial"/>
          <w:b/>
          <w:bCs/>
          <w:sz w:val="20"/>
        </w:rPr>
      </w:pPr>
      <w:r>
        <w:rPr>
          <w:rFonts w:ascii="Arial" w:hAnsi="Arial" w:cs="Arial"/>
          <w:sz w:val="20"/>
        </w:rPr>
        <w:t>Why . . .</w:t>
      </w:r>
    </w:p>
    <w:p w:rsidR="001A296C" w:rsidRPr="00E604EA" w:rsidRDefault="001A296C" w:rsidP="001A296C">
      <w:pPr>
        <w:numPr>
          <w:ilvl w:val="1"/>
          <w:numId w:val="4"/>
        </w:numPr>
        <w:spacing w:after="0" w:line="240" w:lineRule="auto"/>
        <w:rPr>
          <w:rFonts w:ascii="Arial" w:hAnsi="Arial" w:cs="Arial"/>
          <w:b/>
          <w:bCs/>
          <w:sz w:val="20"/>
        </w:rPr>
      </w:pPr>
      <w:r>
        <w:rPr>
          <w:rFonts w:ascii="Arial" w:hAnsi="Arial" w:cs="Arial"/>
          <w:sz w:val="20"/>
        </w:rPr>
        <w:t>How . . .</w:t>
      </w:r>
    </w:p>
    <w:p w:rsidR="001A296C" w:rsidRPr="00E604EA" w:rsidRDefault="001A296C" w:rsidP="001A296C">
      <w:pPr>
        <w:numPr>
          <w:ilvl w:val="1"/>
          <w:numId w:val="4"/>
        </w:numPr>
        <w:spacing w:after="0" w:line="240" w:lineRule="auto"/>
        <w:rPr>
          <w:rFonts w:ascii="Arial" w:hAnsi="Arial" w:cs="Arial"/>
          <w:b/>
          <w:bCs/>
          <w:sz w:val="20"/>
          <w:szCs w:val="20"/>
        </w:rPr>
      </w:pPr>
      <w:r w:rsidRPr="00E604EA">
        <w:rPr>
          <w:rFonts w:ascii="Arial" w:hAnsi="Arial" w:cs="Arial"/>
          <w:sz w:val="20"/>
          <w:szCs w:val="20"/>
        </w:rPr>
        <w:t>I previously thought ____about ____.  Now my thinking has changed because . . .</w:t>
      </w:r>
    </w:p>
    <w:p w:rsidR="001A296C" w:rsidRDefault="001A296C" w:rsidP="001A296C">
      <w:pPr>
        <w:numPr>
          <w:ilvl w:val="1"/>
          <w:numId w:val="4"/>
        </w:numPr>
        <w:spacing w:after="0" w:line="240" w:lineRule="auto"/>
        <w:rPr>
          <w:rFonts w:ascii="Arial" w:hAnsi="Arial" w:cs="Arial"/>
          <w:sz w:val="20"/>
          <w:szCs w:val="20"/>
        </w:rPr>
      </w:pPr>
      <w:r w:rsidRPr="00E604EA">
        <w:rPr>
          <w:rFonts w:ascii="Arial" w:hAnsi="Arial" w:cs="Arial"/>
          <w:sz w:val="20"/>
          <w:szCs w:val="20"/>
        </w:rPr>
        <w:t>I do not understand why the author . . .  because . . .</w:t>
      </w:r>
    </w:p>
    <w:p w:rsidR="001437C1" w:rsidRPr="00E604EA" w:rsidRDefault="001437C1" w:rsidP="001437C1">
      <w:pPr>
        <w:spacing w:after="0" w:line="240" w:lineRule="auto"/>
        <w:ind w:left="1440"/>
        <w:rPr>
          <w:rFonts w:ascii="Arial" w:hAnsi="Arial" w:cs="Arial"/>
          <w:sz w:val="20"/>
          <w:szCs w:val="20"/>
        </w:rPr>
      </w:pPr>
    </w:p>
    <w:p w:rsidR="001437C1" w:rsidRPr="00E05204" w:rsidRDefault="001437C1" w:rsidP="001437C1">
      <w:pPr>
        <w:numPr>
          <w:ilvl w:val="0"/>
          <w:numId w:val="4"/>
        </w:numPr>
        <w:spacing w:after="0" w:line="240" w:lineRule="auto"/>
        <w:rPr>
          <w:b/>
          <w:i/>
        </w:rPr>
      </w:pPr>
      <w:r w:rsidRPr="00072255">
        <w:rPr>
          <w:rFonts w:ascii="Arial Black" w:hAnsi="Arial Black"/>
          <w:b/>
        </w:rPr>
        <w:t>IN NO WAY SHAPE OR FORM ARE YOU SUMMARIZING IN THE RIGHT COLUMN.</w:t>
      </w:r>
    </w:p>
    <w:p w:rsidR="001A296C" w:rsidRPr="001437C1" w:rsidRDefault="001A296C" w:rsidP="001437C1">
      <w:pPr>
        <w:pStyle w:val="ListParagraph"/>
        <w:spacing w:after="0" w:line="240" w:lineRule="auto"/>
        <w:contextualSpacing w:val="0"/>
        <w:rPr>
          <w:rFonts w:ascii="Arial" w:hAnsi="Arial" w:cs="Arial"/>
          <w:b/>
          <w:bCs/>
          <w:sz w:val="20"/>
        </w:rPr>
      </w:pPr>
    </w:p>
    <w:p w:rsidR="001A296C" w:rsidRPr="00F5222D" w:rsidRDefault="001A296C" w:rsidP="001A296C">
      <w:pPr>
        <w:widowControl w:val="0"/>
        <w:autoSpaceDE w:val="0"/>
        <w:autoSpaceDN w:val="0"/>
        <w:adjustRightInd w:val="0"/>
        <w:spacing w:after="0" w:line="240" w:lineRule="auto"/>
        <w:rPr>
          <w:rFonts w:cs="Courier New"/>
        </w:rPr>
      </w:pPr>
    </w:p>
    <w:tbl>
      <w:tblPr>
        <w:tblStyle w:val="TableGrid"/>
        <w:tblW w:w="0" w:type="auto"/>
        <w:tblInd w:w="0" w:type="dxa"/>
        <w:tblLook w:val="04A0" w:firstRow="1" w:lastRow="0" w:firstColumn="1" w:lastColumn="0" w:noHBand="0" w:noVBand="1"/>
      </w:tblPr>
      <w:tblGrid>
        <w:gridCol w:w="2158"/>
        <w:gridCol w:w="2158"/>
        <w:gridCol w:w="2158"/>
        <w:gridCol w:w="2158"/>
        <w:gridCol w:w="2158"/>
      </w:tblGrid>
      <w:tr w:rsidR="001437C1" w:rsidTr="001437C1">
        <w:tc>
          <w:tcPr>
            <w:tcW w:w="2158" w:type="dxa"/>
          </w:tcPr>
          <w:p w:rsidR="001437C1" w:rsidRDefault="001437C1" w:rsidP="00967479">
            <w:pPr>
              <w:jc w:val="center"/>
              <w:rPr>
                <w:rFonts w:ascii="Copperplate Gothic Bold" w:hAnsi="Copperplate Gothic Bold"/>
              </w:rPr>
            </w:pPr>
          </w:p>
        </w:tc>
        <w:tc>
          <w:tcPr>
            <w:tcW w:w="2158" w:type="dxa"/>
          </w:tcPr>
          <w:p w:rsidR="001437C1" w:rsidRDefault="00F20852" w:rsidP="00F20852">
            <w:pPr>
              <w:jc w:val="center"/>
              <w:rPr>
                <w:rFonts w:ascii="Copperplate Gothic Bold" w:hAnsi="Copperplate Gothic Bold"/>
              </w:rPr>
            </w:pPr>
            <w:r>
              <w:rPr>
                <w:rFonts w:ascii="Copperplate Gothic Bold" w:hAnsi="Copperplate Gothic Bold"/>
              </w:rPr>
              <w:t>4</w:t>
            </w:r>
          </w:p>
          <w:p w:rsidR="00F20852" w:rsidRDefault="00F20852" w:rsidP="00F20852">
            <w:pPr>
              <w:jc w:val="center"/>
              <w:rPr>
                <w:rFonts w:ascii="Copperplate Gothic Bold" w:hAnsi="Copperplate Gothic Bold"/>
              </w:rPr>
            </w:pPr>
            <w:r>
              <w:rPr>
                <w:rFonts w:ascii="Copperplate Gothic Bold" w:hAnsi="Copperplate Gothic Bold"/>
              </w:rPr>
              <w:t>Exceeds expectations</w:t>
            </w:r>
          </w:p>
        </w:tc>
        <w:tc>
          <w:tcPr>
            <w:tcW w:w="2158" w:type="dxa"/>
          </w:tcPr>
          <w:p w:rsidR="001437C1" w:rsidRDefault="00F20852" w:rsidP="00F20852">
            <w:pPr>
              <w:jc w:val="center"/>
              <w:rPr>
                <w:rFonts w:ascii="Copperplate Gothic Bold" w:hAnsi="Copperplate Gothic Bold"/>
              </w:rPr>
            </w:pPr>
            <w:r>
              <w:rPr>
                <w:rFonts w:ascii="Copperplate Gothic Bold" w:hAnsi="Copperplate Gothic Bold"/>
              </w:rPr>
              <w:t>3</w:t>
            </w:r>
          </w:p>
          <w:p w:rsidR="00F20852" w:rsidRDefault="00F20852" w:rsidP="00F20852">
            <w:pPr>
              <w:jc w:val="center"/>
              <w:rPr>
                <w:rFonts w:ascii="Copperplate Gothic Bold" w:hAnsi="Copperplate Gothic Bold"/>
              </w:rPr>
            </w:pPr>
            <w:r>
              <w:rPr>
                <w:rFonts w:ascii="Copperplate Gothic Bold" w:hAnsi="Copperplate Gothic Bold"/>
              </w:rPr>
              <w:t>Meets expectations</w:t>
            </w:r>
          </w:p>
        </w:tc>
        <w:tc>
          <w:tcPr>
            <w:tcW w:w="2158" w:type="dxa"/>
          </w:tcPr>
          <w:p w:rsidR="001437C1" w:rsidRDefault="00F20852" w:rsidP="00F20852">
            <w:pPr>
              <w:jc w:val="center"/>
              <w:rPr>
                <w:rFonts w:ascii="Copperplate Gothic Bold" w:hAnsi="Copperplate Gothic Bold"/>
              </w:rPr>
            </w:pPr>
            <w:r>
              <w:rPr>
                <w:rFonts w:ascii="Copperplate Gothic Bold" w:hAnsi="Copperplate Gothic Bold"/>
              </w:rPr>
              <w:t>2</w:t>
            </w:r>
          </w:p>
          <w:p w:rsidR="00F20852" w:rsidRDefault="00F20852" w:rsidP="00F20852">
            <w:pPr>
              <w:jc w:val="center"/>
              <w:rPr>
                <w:rFonts w:ascii="Copperplate Gothic Bold" w:hAnsi="Copperplate Gothic Bold"/>
              </w:rPr>
            </w:pPr>
            <w:r>
              <w:rPr>
                <w:rFonts w:ascii="Copperplate Gothic Bold" w:hAnsi="Copperplate Gothic Bold"/>
              </w:rPr>
              <w:t>Partially meets expectations</w:t>
            </w:r>
          </w:p>
        </w:tc>
        <w:tc>
          <w:tcPr>
            <w:tcW w:w="2158" w:type="dxa"/>
          </w:tcPr>
          <w:p w:rsidR="001437C1" w:rsidRDefault="00F20852" w:rsidP="00F20852">
            <w:pPr>
              <w:jc w:val="center"/>
              <w:rPr>
                <w:rFonts w:ascii="Copperplate Gothic Bold" w:hAnsi="Copperplate Gothic Bold"/>
              </w:rPr>
            </w:pPr>
            <w:r>
              <w:rPr>
                <w:rFonts w:ascii="Copperplate Gothic Bold" w:hAnsi="Copperplate Gothic Bold"/>
              </w:rPr>
              <w:t>1/0</w:t>
            </w:r>
          </w:p>
          <w:p w:rsidR="00F20852" w:rsidRDefault="00F20852" w:rsidP="00F20852">
            <w:pPr>
              <w:jc w:val="center"/>
              <w:rPr>
                <w:rFonts w:ascii="Copperplate Gothic Bold" w:hAnsi="Copperplate Gothic Bold"/>
              </w:rPr>
            </w:pPr>
            <w:r>
              <w:rPr>
                <w:rFonts w:ascii="Copperplate Gothic Bold" w:hAnsi="Copperplate Gothic Bold"/>
              </w:rPr>
              <w:t>Does not meet expectations</w:t>
            </w:r>
          </w:p>
        </w:tc>
      </w:tr>
      <w:tr w:rsidR="001437C1" w:rsidTr="001437C1">
        <w:tc>
          <w:tcPr>
            <w:tcW w:w="2158" w:type="dxa"/>
          </w:tcPr>
          <w:p w:rsidR="00F20852" w:rsidRDefault="00F20852"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p>
          <w:p w:rsidR="001437C1" w:rsidRDefault="00F20852" w:rsidP="00967479">
            <w:pPr>
              <w:jc w:val="center"/>
              <w:rPr>
                <w:rFonts w:ascii="Copperplate Gothic Bold" w:hAnsi="Copperplate Gothic Bold"/>
              </w:rPr>
            </w:pPr>
            <w:r>
              <w:rPr>
                <w:rFonts w:ascii="Copperplate Gothic Bold" w:hAnsi="Copperplate Gothic Bold"/>
              </w:rPr>
              <w:t>Quality of responses</w:t>
            </w:r>
          </w:p>
        </w:tc>
        <w:tc>
          <w:tcPr>
            <w:tcW w:w="2158" w:type="dxa"/>
          </w:tcPr>
          <w:p w:rsidR="001437C1" w:rsidRDefault="00F20852" w:rsidP="001A296C">
            <w:pPr>
              <w:rPr>
                <w:rFonts w:ascii="Copperplate Gothic Bold" w:hAnsi="Copperplate Gothic Bold"/>
              </w:rPr>
            </w:pPr>
            <w:r>
              <w:t>All entries demonst</w:t>
            </w:r>
            <w:r>
              <w:t>rate deep insight into the text</w:t>
            </w:r>
            <w:r>
              <w:t xml:space="preserve"> and do an exceptional job of explaining the student’s thoughts through the skillful selection of textual evidence and thoughtful analysis.</w:t>
            </w:r>
          </w:p>
        </w:tc>
        <w:tc>
          <w:tcPr>
            <w:tcW w:w="2158" w:type="dxa"/>
          </w:tcPr>
          <w:p w:rsidR="001437C1" w:rsidRDefault="00F20852" w:rsidP="001A296C">
            <w:pPr>
              <w:rPr>
                <w:rFonts w:ascii="Copperplate Gothic Bold" w:hAnsi="Copperplate Gothic Bold"/>
              </w:rPr>
            </w:pPr>
            <w:r>
              <w:t>All entries demonstrate s</w:t>
            </w:r>
            <w:r>
              <w:t>ufficient insight into the text</w:t>
            </w:r>
            <w:r>
              <w:t xml:space="preserve"> and adequately explain the student’s thoughts through the selection of textual evidence and analysis.</w:t>
            </w:r>
          </w:p>
        </w:tc>
        <w:tc>
          <w:tcPr>
            <w:tcW w:w="2158" w:type="dxa"/>
          </w:tcPr>
          <w:p w:rsidR="001437C1" w:rsidRDefault="00F20852" w:rsidP="001A296C">
            <w:pPr>
              <w:rPr>
                <w:rFonts w:ascii="Copperplate Gothic Bold" w:hAnsi="Copperplate Gothic Bold"/>
              </w:rPr>
            </w:pPr>
            <w:r>
              <w:t xml:space="preserve">Some entries demonstrate </w:t>
            </w:r>
            <w:r>
              <w:t>a lack of insight into the text</w:t>
            </w:r>
            <w:r>
              <w:t xml:space="preserve"> and do not adequately explain the student’s thoughts.</w:t>
            </w:r>
          </w:p>
        </w:tc>
        <w:tc>
          <w:tcPr>
            <w:tcW w:w="2158" w:type="dxa"/>
          </w:tcPr>
          <w:p w:rsidR="001437C1" w:rsidRDefault="00F20852" w:rsidP="001A296C">
            <w:pPr>
              <w:rPr>
                <w:rFonts w:ascii="Copperplate Gothic Bold" w:hAnsi="Copperplate Gothic Bold"/>
              </w:rPr>
            </w:pPr>
            <w:r>
              <w:t>No evidence of insights beyond simply identifying or restating the speaker and/or circumstances of the passages or quotes.</w:t>
            </w:r>
          </w:p>
        </w:tc>
      </w:tr>
      <w:tr w:rsidR="00F20852" w:rsidTr="001437C1">
        <w:tc>
          <w:tcPr>
            <w:tcW w:w="2158" w:type="dxa"/>
          </w:tcPr>
          <w:p w:rsidR="00F20852" w:rsidRDefault="00F20852"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r>
              <w:rPr>
                <w:rFonts w:ascii="Copperplate Gothic Bold" w:hAnsi="Copperplate Gothic Bold"/>
              </w:rPr>
              <w:t>Quantity of Responses</w:t>
            </w:r>
            <w:r w:rsidR="007944C2">
              <w:rPr>
                <w:rFonts w:ascii="Copperplate Gothic Bold" w:hAnsi="Copperplate Gothic Bold"/>
              </w:rPr>
              <w:t>; legibility</w:t>
            </w:r>
          </w:p>
        </w:tc>
        <w:tc>
          <w:tcPr>
            <w:tcW w:w="2158" w:type="dxa"/>
          </w:tcPr>
          <w:p w:rsidR="00F20852" w:rsidRDefault="00F20852" w:rsidP="001A296C">
            <w:r>
              <w:t>Includes required number of</w:t>
            </w:r>
            <w:r>
              <w:t xml:space="preserve"> relevant quotations or passages (on the left side of the double-entry journal) accompanied by student responses to the recorded passages (on the right side of the double-entry journal).</w:t>
            </w:r>
          </w:p>
          <w:p w:rsidR="007944C2" w:rsidRDefault="007944C2" w:rsidP="001A296C">
            <w:r>
              <w:t>Legible handwriting or printing</w:t>
            </w:r>
          </w:p>
        </w:tc>
        <w:tc>
          <w:tcPr>
            <w:tcW w:w="2158" w:type="dxa"/>
          </w:tcPr>
          <w:p w:rsidR="00F20852" w:rsidRDefault="00F20852" w:rsidP="001A296C">
            <w:r>
              <w:t>Includes less than the required</w:t>
            </w:r>
            <w:r>
              <w:t xml:space="preserve"> </w:t>
            </w:r>
            <w:r w:rsidR="007944C2">
              <w:t xml:space="preserve">number of </w:t>
            </w:r>
            <w:r>
              <w:t>relevant quotations or passages (on the left side of the double-entry journal) accompanied by</w:t>
            </w:r>
            <w:r w:rsidR="007944C2">
              <w:t xml:space="preserve"> insufficient</w:t>
            </w:r>
            <w:r>
              <w:t xml:space="preserve"> student responses to the recorded passages (on the right side of the double-entry journal).</w:t>
            </w:r>
          </w:p>
          <w:p w:rsidR="007944C2" w:rsidRDefault="007944C2" w:rsidP="001A296C">
            <w:r>
              <w:t>Marginally legible handwriting</w:t>
            </w:r>
            <w:r>
              <w:t xml:space="preserve"> or printing</w:t>
            </w:r>
          </w:p>
        </w:tc>
        <w:tc>
          <w:tcPr>
            <w:tcW w:w="2158" w:type="dxa"/>
          </w:tcPr>
          <w:p w:rsidR="00F20852" w:rsidRDefault="00F20852" w:rsidP="001A296C">
            <w:r>
              <w:t>Includes less than half of the required</w:t>
            </w:r>
            <w:r>
              <w:t xml:space="preserve"> quotations or passages (on the left side of the double-entry journal) accompanied by</w:t>
            </w:r>
            <w:r w:rsidR="007944C2">
              <w:t xml:space="preserve"> significantly insufficient</w:t>
            </w:r>
            <w:r>
              <w:t xml:space="preserve"> student responses to the recorded passages (on the right side of the double-entry journal).</w:t>
            </w:r>
          </w:p>
          <w:p w:rsidR="007944C2" w:rsidRDefault="007944C2" w:rsidP="001A296C">
            <w:r>
              <w:t>Writing is not legible in places.</w:t>
            </w:r>
          </w:p>
        </w:tc>
        <w:tc>
          <w:tcPr>
            <w:tcW w:w="2158" w:type="dxa"/>
          </w:tcPr>
          <w:p w:rsidR="00F20852" w:rsidRDefault="00F20852" w:rsidP="001A296C">
            <w:r>
              <w:t>Include no</w:t>
            </w:r>
            <w:r>
              <w:t xml:space="preserve"> quotations or passages (on the left side of the double</w:t>
            </w:r>
            <w:r>
              <w:t>-</w:t>
            </w:r>
            <w:r>
              <w:t xml:space="preserve">entry journal) accompanied by </w:t>
            </w:r>
            <w:r>
              <w:t xml:space="preserve">little to no </w:t>
            </w:r>
            <w:r>
              <w:t>student responses to the recorded passages (on the right side of the double-entry journal).</w:t>
            </w:r>
          </w:p>
          <w:p w:rsidR="007944C2" w:rsidRDefault="007944C2" w:rsidP="001A296C">
            <w:r>
              <w:t>Writing is not legible; therefore, no credit for the entire entry.</w:t>
            </w:r>
          </w:p>
        </w:tc>
      </w:tr>
      <w:tr w:rsidR="00F20852" w:rsidTr="001437C1">
        <w:tc>
          <w:tcPr>
            <w:tcW w:w="2158" w:type="dxa"/>
          </w:tcPr>
          <w:p w:rsidR="00967479" w:rsidRDefault="00967479" w:rsidP="00967479">
            <w:pPr>
              <w:jc w:val="center"/>
              <w:rPr>
                <w:rFonts w:ascii="Copperplate Gothic Bold" w:hAnsi="Copperplate Gothic Bold"/>
              </w:rPr>
            </w:pPr>
          </w:p>
          <w:p w:rsidR="00F20852" w:rsidRDefault="00F20852" w:rsidP="00967479">
            <w:pPr>
              <w:jc w:val="center"/>
              <w:rPr>
                <w:rFonts w:ascii="Copperplate Gothic Bold" w:hAnsi="Copperplate Gothic Bold"/>
              </w:rPr>
            </w:pPr>
            <w:r>
              <w:rPr>
                <w:rFonts w:ascii="Copperplate Gothic Bold" w:hAnsi="Copperplate Gothic Bold"/>
              </w:rPr>
              <w:t>Relevancy of Quotes</w:t>
            </w:r>
          </w:p>
        </w:tc>
        <w:tc>
          <w:tcPr>
            <w:tcW w:w="2158" w:type="dxa"/>
          </w:tcPr>
          <w:p w:rsidR="00F20852" w:rsidRDefault="00F20852" w:rsidP="001A296C">
            <w:r>
              <w:t>All quotes are thorough, thoughtful,</w:t>
            </w:r>
            <w:r>
              <w:t xml:space="preserve"> and insightfully relate to the overall meaning of the text.</w:t>
            </w:r>
          </w:p>
        </w:tc>
        <w:tc>
          <w:tcPr>
            <w:tcW w:w="2158" w:type="dxa"/>
          </w:tcPr>
          <w:p w:rsidR="00F20852" w:rsidRDefault="00F20852" w:rsidP="001A296C">
            <w:r>
              <w:t>Most quotes chosen are fairly thorough and adequately r</w:t>
            </w:r>
            <w:r w:rsidR="00967479">
              <w:t>elate to the overall meaning of the text.</w:t>
            </w:r>
          </w:p>
        </w:tc>
        <w:tc>
          <w:tcPr>
            <w:tcW w:w="2158" w:type="dxa"/>
          </w:tcPr>
          <w:p w:rsidR="00F20852" w:rsidRDefault="00967479" w:rsidP="001A296C">
            <w:r>
              <w:t>Some quotes are incomplete or irrelevant.</w:t>
            </w:r>
          </w:p>
        </w:tc>
        <w:tc>
          <w:tcPr>
            <w:tcW w:w="2158" w:type="dxa"/>
          </w:tcPr>
          <w:p w:rsidR="00F20852" w:rsidRDefault="00967479" w:rsidP="001A296C">
            <w:r>
              <w:t>Many quotes are disjointed, incomplete, or irrelevant.</w:t>
            </w:r>
          </w:p>
        </w:tc>
      </w:tr>
    </w:tbl>
    <w:p w:rsidR="00967479" w:rsidRDefault="00967479" w:rsidP="007944C2">
      <w:pPr>
        <w:ind w:left="5040" w:firstLine="720"/>
        <w:rPr>
          <w:rFonts w:ascii="Copperplate Gothic Bold" w:hAnsi="Copperplate Gothic Bold"/>
        </w:rPr>
      </w:pPr>
      <w:r>
        <w:rPr>
          <w:rFonts w:ascii="Copperplate Gothic Bold" w:hAnsi="Copperplate Gothic Bold"/>
        </w:rPr>
        <w:t>YOUR SCORE ______ /3 = _______ OUT OF 4</w:t>
      </w:r>
    </w:p>
    <w:p w:rsidR="00967479" w:rsidRDefault="00967479" w:rsidP="00967479">
      <w:pPr>
        <w:rPr>
          <w:rFonts w:cs="Courier New"/>
        </w:rPr>
      </w:pPr>
      <w:r>
        <w:rPr>
          <w:rFonts w:cs="Courier New"/>
        </w:rPr>
        <w:pict>
          <v:rect id="_x0000_i1026" style="width:0;height:1.5pt" o:hralign="center" o:hrstd="t" o:hr="t" fillcolor="#a0a0a0" stroked="f"/>
        </w:pict>
      </w:r>
    </w:p>
    <w:p w:rsidR="00967479" w:rsidRPr="00ED64F3" w:rsidRDefault="00967479" w:rsidP="00967479">
      <w:pPr>
        <w:rPr>
          <w:rFonts w:ascii="Copperplate Gothic Bold" w:hAnsi="Copperplate Gothic Bold"/>
          <w:b/>
        </w:rPr>
      </w:pPr>
      <w:r w:rsidRPr="00ED64F3">
        <w:rPr>
          <w:rFonts w:cs="Courier New"/>
          <w:b/>
        </w:rPr>
        <w:t>A SAMPLE ENTRY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406"/>
        <w:gridCol w:w="5460"/>
      </w:tblGrid>
      <w:tr w:rsidR="00967479" w:rsidRPr="00EC7699" w:rsidTr="00ED64F3">
        <w:trPr>
          <w:trHeight w:val="339"/>
          <w:jc w:val="center"/>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967479" w:rsidRPr="00EC7699" w:rsidRDefault="00967479" w:rsidP="00CF5759">
            <w:pPr>
              <w:rPr>
                <w:rFonts w:ascii="Palatino Linotype" w:hAnsi="Palatino Linotype"/>
                <w:b/>
                <w:sz w:val="18"/>
                <w:szCs w:val="18"/>
              </w:rPr>
            </w:pPr>
            <w:r w:rsidRPr="00EC7699">
              <w:rPr>
                <w:rFonts w:ascii="Georgia" w:hAnsi="Georgia"/>
                <w:b/>
                <w:sz w:val="18"/>
                <w:szCs w:val="18"/>
              </w:rPr>
              <w:t xml:space="preserve">Title &amp; Author of book: </w:t>
            </w:r>
            <w:r w:rsidRPr="00EC7699">
              <w:rPr>
                <w:rFonts w:ascii="Georgia" w:hAnsi="Georgia"/>
                <w:b/>
                <w:i/>
                <w:sz w:val="18"/>
                <w:szCs w:val="18"/>
              </w:rPr>
              <w:t>Their Eyes Were Watching God</w:t>
            </w:r>
            <w:r w:rsidRPr="00EC7699">
              <w:rPr>
                <w:rFonts w:ascii="Georgia" w:hAnsi="Georgia"/>
                <w:b/>
                <w:sz w:val="18"/>
                <w:szCs w:val="18"/>
              </w:rPr>
              <w:t xml:space="preserve"> by </w:t>
            </w:r>
            <w:r w:rsidRPr="00EC7699">
              <w:rPr>
                <w:rFonts w:ascii="Georgia" w:hAnsi="Georgia"/>
                <w:b/>
                <w:sz w:val="18"/>
                <w:szCs w:val="18"/>
              </w:rPr>
              <w:t>Zora Hurston</w:t>
            </w:r>
          </w:p>
        </w:tc>
      </w:tr>
      <w:tr w:rsidR="00967479" w:rsidRPr="00577B56" w:rsidTr="00ED64F3">
        <w:trPr>
          <w:trHeight w:val="678"/>
          <w:jc w:val="center"/>
        </w:trPr>
        <w:tc>
          <w:tcPr>
            <w:tcW w:w="1057" w:type="dxa"/>
            <w:tcBorders>
              <w:top w:val="single" w:sz="4" w:space="0" w:color="auto"/>
              <w:left w:val="single" w:sz="4" w:space="0" w:color="auto"/>
              <w:bottom w:val="single" w:sz="4" w:space="0" w:color="auto"/>
              <w:right w:val="single" w:sz="4" w:space="0" w:color="auto"/>
            </w:tcBorders>
            <w:shd w:val="clear" w:color="auto" w:fill="auto"/>
          </w:tcPr>
          <w:p w:rsidR="00967479" w:rsidRPr="00577B56" w:rsidRDefault="00967479" w:rsidP="00577B56">
            <w:pPr>
              <w:jc w:val="center"/>
              <w:rPr>
                <w:rFonts w:ascii="Palatino Linotype" w:hAnsi="Palatino Linotype"/>
                <w:b/>
                <w:sz w:val="18"/>
                <w:szCs w:val="18"/>
              </w:rPr>
            </w:pPr>
            <w:r w:rsidRPr="00577B56">
              <w:rPr>
                <w:rFonts w:ascii="Georgia" w:hAnsi="Georgia"/>
                <w:b/>
                <w:sz w:val="18"/>
                <w:szCs w:val="18"/>
              </w:rPr>
              <w:t>Page</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967479" w:rsidRPr="00577B56" w:rsidRDefault="00967479" w:rsidP="00577B56">
            <w:pPr>
              <w:jc w:val="center"/>
              <w:rPr>
                <w:rFonts w:ascii="Palatino Linotype" w:hAnsi="Palatino Linotype"/>
                <w:b/>
                <w:sz w:val="18"/>
                <w:szCs w:val="18"/>
              </w:rPr>
            </w:pPr>
            <w:r w:rsidRPr="00577B56">
              <w:rPr>
                <w:rFonts w:ascii="Georgia" w:hAnsi="Georgia"/>
                <w:b/>
                <w:sz w:val="18"/>
                <w:szCs w:val="18"/>
              </w:rPr>
              <w:t>Imagery/Figurative Language/Quotations</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967479" w:rsidRPr="00577B56" w:rsidRDefault="00967479" w:rsidP="00577B56">
            <w:pPr>
              <w:jc w:val="center"/>
              <w:rPr>
                <w:rFonts w:ascii="Palatino Linotype" w:hAnsi="Palatino Linotype"/>
                <w:b/>
                <w:sz w:val="18"/>
                <w:szCs w:val="18"/>
              </w:rPr>
            </w:pPr>
            <w:r w:rsidRPr="00577B56">
              <w:rPr>
                <w:rFonts w:ascii="Georgia" w:hAnsi="Georgia"/>
                <w:b/>
                <w:sz w:val="18"/>
                <w:szCs w:val="18"/>
              </w:rPr>
              <w:t>Commentary/Thoughts/Reactions/Analyzing the Purpose</w:t>
            </w:r>
          </w:p>
        </w:tc>
      </w:tr>
      <w:tr w:rsidR="00967479" w:rsidRPr="00EC7699" w:rsidTr="00ED64F3">
        <w:trPr>
          <w:trHeight w:val="753"/>
          <w:jc w:val="center"/>
        </w:trPr>
        <w:tc>
          <w:tcPr>
            <w:tcW w:w="1057" w:type="dxa"/>
            <w:tcBorders>
              <w:top w:val="single" w:sz="4" w:space="0" w:color="auto"/>
              <w:left w:val="single" w:sz="4" w:space="0" w:color="auto"/>
              <w:bottom w:val="single" w:sz="4" w:space="0" w:color="auto"/>
              <w:right w:val="single" w:sz="4" w:space="0" w:color="auto"/>
            </w:tcBorders>
            <w:shd w:val="clear" w:color="auto" w:fill="auto"/>
          </w:tcPr>
          <w:p w:rsidR="00967479" w:rsidRPr="00EC7699" w:rsidRDefault="00967479" w:rsidP="00CF5759">
            <w:pPr>
              <w:rPr>
                <w:rFonts w:ascii="Georgia" w:hAnsi="Georgia"/>
                <w:sz w:val="18"/>
                <w:szCs w:val="18"/>
              </w:rPr>
            </w:pPr>
          </w:p>
          <w:p w:rsidR="00EC7699" w:rsidRDefault="00EC7699" w:rsidP="00EC7699">
            <w:pPr>
              <w:jc w:val="center"/>
              <w:rPr>
                <w:rFonts w:ascii="Palatino Linotype" w:hAnsi="Palatino Linotype"/>
                <w:sz w:val="18"/>
                <w:szCs w:val="18"/>
              </w:rPr>
            </w:pPr>
          </w:p>
          <w:p w:rsidR="00EC7699" w:rsidRDefault="00EC7699" w:rsidP="00EC7699">
            <w:pPr>
              <w:jc w:val="center"/>
              <w:rPr>
                <w:rFonts w:ascii="Palatino Linotype" w:hAnsi="Palatino Linotype"/>
                <w:sz w:val="18"/>
                <w:szCs w:val="18"/>
              </w:rPr>
            </w:pPr>
          </w:p>
          <w:p w:rsidR="00967479" w:rsidRPr="00EC7699" w:rsidRDefault="00967479" w:rsidP="00EC7699">
            <w:pPr>
              <w:jc w:val="center"/>
              <w:rPr>
                <w:rFonts w:ascii="Palatino Linotype" w:hAnsi="Palatino Linotype"/>
                <w:sz w:val="18"/>
                <w:szCs w:val="18"/>
              </w:rPr>
            </w:pPr>
            <w:r w:rsidRPr="00EC7699">
              <w:rPr>
                <w:rFonts w:ascii="Palatino Linotype" w:hAnsi="Palatino Linotype"/>
                <w:sz w:val="18"/>
                <w:szCs w:val="18"/>
              </w:rPr>
              <w:t>1</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967479" w:rsidRPr="00EC7699" w:rsidRDefault="00967479" w:rsidP="00CF5759">
            <w:pPr>
              <w:rPr>
                <w:rFonts w:ascii="Palatino Linotype" w:hAnsi="Palatino Linotype"/>
                <w:sz w:val="18"/>
                <w:szCs w:val="18"/>
              </w:rPr>
            </w:pPr>
            <w:r w:rsidRPr="00EC7699">
              <w:rPr>
                <w:rFonts w:ascii="Palatino Linotype" w:hAnsi="Palatino Linotype"/>
                <w:sz w:val="18"/>
                <w:szCs w:val="18"/>
              </w:rPr>
              <w:t xml:space="preserve">“The people all saw her because it was sundown.  The sun was gone, but he had left his footprints in the sky.  It was the time for sitting on the porches beside road.  It was the time to hear things and talk.  These sitters had been </w:t>
            </w:r>
            <w:proofErr w:type="spellStart"/>
            <w:r w:rsidRPr="00EC7699">
              <w:rPr>
                <w:rFonts w:ascii="Palatino Linotype" w:hAnsi="Palatino Linotype"/>
                <w:sz w:val="18"/>
                <w:szCs w:val="18"/>
              </w:rPr>
              <w:t>tongueless</w:t>
            </w:r>
            <w:proofErr w:type="spellEnd"/>
            <w:r w:rsidRPr="00EC7699">
              <w:rPr>
                <w:rFonts w:ascii="Palatino Linotype" w:hAnsi="Palatino Linotype"/>
                <w:sz w:val="18"/>
                <w:szCs w:val="18"/>
              </w:rPr>
              <w:t>, earless, eyeless conveniences all day long.  Mules and brutes had occupied their skins.</w:t>
            </w:r>
            <w:r w:rsidR="00EC7699" w:rsidRPr="00C72C2D">
              <w:rPr>
                <w:rFonts w:ascii="Palatino Linotype" w:hAnsi="Palatino Linotype"/>
                <w:sz w:val="18"/>
                <w:szCs w:val="18"/>
              </w:rPr>
              <w:t xml:space="preserve"> </w:t>
            </w:r>
            <w:r w:rsidR="00EC7699" w:rsidRPr="00C72C2D">
              <w:rPr>
                <w:rFonts w:ascii="Palatino Linotype" w:hAnsi="Palatino Linotype" w:cstheme="minorHAnsi"/>
                <w:color w:val="222222"/>
                <w:sz w:val="18"/>
                <w:szCs w:val="18"/>
                <w:shd w:val="clear" w:color="auto" w:fill="FFFFFF"/>
              </w:rPr>
              <w:t xml:space="preserve">But now, the sun and the </w:t>
            </w:r>
            <w:proofErr w:type="spellStart"/>
            <w:r w:rsidR="00EC7699" w:rsidRPr="00C72C2D">
              <w:rPr>
                <w:rFonts w:ascii="Palatino Linotype" w:hAnsi="Palatino Linotype" w:cstheme="minorHAnsi"/>
                <w:color w:val="222222"/>
                <w:sz w:val="18"/>
                <w:szCs w:val="18"/>
                <w:shd w:val="clear" w:color="auto" w:fill="FFFFFF"/>
              </w:rPr>
              <w:t>bossman</w:t>
            </w:r>
            <w:proofErr w:type="spellEnd"/>
            <w:r w:rsidR="00EC7699" w:rsidRPr="00C72C2D">
              <w:rPr>
                <w:rFonts w:ascii="Palatino Linotype" w:hAnsi="Palatino Linotype" w:cstheme="minorHAnsi"/>
                <w:color w:val="222222"/>
                <w:sz w:val="18"/>
                <w:szCs w:val="18"/>
                <w:shd w:val="clear" w:color="auto" w:fill="FFFFFF"/>
              </w:rPr>
              <w:t xml:space="preserve"> were gone, so the skins felt powerful and human. They became lords of sounds and lesser things. They passed nations through their mouths. They sat in judgment.</w:t>
            </w:r>
            <w:r w:rsidR="00C72C2D">
              <w:rPr>
                <w:rFonts w:ascii="Palatino Linotype" w:hAnsi="Palatino Linotype" w:cstheme="minorHAnsi"/>
                <w:color w:val="222222"/>
                <w:sz w:val="18"/>
                <w:szCs w:val="18"/>
                <w:shd w:val="clear" w:color="auto" w:fill="FFFFFF"/>
              </w:rPr>
              <w:t>”</w:t>
            </w:r>
          </w:p>
        </w:tc>
        <w:tc>
          <w:tcPr>
            <w:tcW w:w="5460" w:type="dxa"/>
            <w:tcBorders>
              <w:top w:val="single" w:sz="4" w:space="0" w:color="auto"/>
              <w:left w:val="single" w:sz="4" w:space="0" w:color="auto"/>
              <w:bottom w:val="single" w:sz="4" w:space="0" w:color="auto"/>
              <w:right w:val="single" w:sz="4" w:space="0" w:color="auto"/>
            </w:tcBorders>
            <w:shd w:val="clear" w:color="auto" w:fill="auto"/>
          </w:tcPr>
          <w:p w:rsidR="00967479" w:rsidRPr="00EC7699" w:rsidRDefault="00967479" w:rsidP="00CF5759">
            <w:pPr>
              <w:rPr>
                <w:rFonts w:ascii="Palatino Linotype" w:hAnsi="Palatino Linotype"/>
                <w:sz w:val="18"/>
                <w:szCs w:val="18"/>
              </w:rPr>
            </w:pPr>
            <w:r w:rsidRPr="00EC7699">
              <w:rPr>
                <w:rFonts w:ascii="Palatino Linotype" w:hAnsi="Palatino Linotype"/>
                <w:sz w:val="18"/>
                <w:szCs w:val="18"/>
              </w:rPr>
              <w:t xml:space="preserve">I am very impressed by the way in which the author uses setting and metaphorical language to introduce the book.  I don’t know anything about the book, but it really makes me want to read more.   </w:t>
            </w:r>
          </w:p>
          <w:p w:rsidR="00967479" w:rsidRDefault="00967479" w:rsidP="00CF5759">
            <w:pPr>
              <w:rPr>
                <w:rFonts w:ascii="Palatino Linotype" w:hAnsi="Palatino Linotype"/>
                <w:sz w:val="18"/>
                <w:szCs w:val="18"/>
              </w:rPr>
            </w:pPr>
            <w:r w:rsidRPr="00EC7699">
              <w:rPr>
                <w:rFonts w:ascii="Palatino Linotype" w:hAnsi="Palatino Linotype"/>
                <w:sz w:val="18"/>
                <w:szCs w:val="18"/>
              </w:rPr>
              <w:t xml:space="preserve">The metaphor of the footprints in the sky….I think it could mean the sun is still lingering in the sky somehow.  ‘His’ could be referring to God, since it is the sky and connects back to the title of the novel.  </w:t>
            </w:r>
          </w:p>
          <w:p w:rsidR="00C72C2D" w:rsidRPr="00C72C2D" w:rsidRDefault="00C72C2D" w:rsidP="00CF5759">
            <w:pPr>
              <w:rPr>
                <w:rFonts w:ascii="Palatino Linotype" w:hAnsi="Palatino Linotype"/>
                <w:sz w:val="18"/>
                <w:szCs w:val="18"/>
              </w:rPr>
            </w:pPr>
            <w:r w:rsidRPr="00C72C2D">
              <w:rPr>
                <w:rFonts w:ascii="Palatino Linotype" w:hAnsi="Palatino Linotype" w:cs="Arial"/>
                <w:color w:val="222222"/>
                <w:sz w:val="18"/>
                <w:szCs w:val="18"/>
                <w:shd w:val="clear" w:color="auto" w:fill="FFFFFF"/>
              </w:rPr>
              <w:t>The narrator cites the black people of Eatonville’s lack of confidence during the day, which dissolves by night when the white "</w:t>
            </w:r>
            <w:proofErr w:type="spellStart"/>
            <w:r w:rsidRPr="00C72C2D">
              <w:rPr>
                <w:rFonts w:ascii="Palatino Linotype" w:hAnsi="Palatino Linotype" w:cs="Arial"/>
                <w:color w:val="222222"/>
                <w:sz w:val="18"/>
                <w:szCs w:val="18"/>
                <w:shd w:val="clear" w:color="auto" w:fill="FFFFFF"/>
              </w:rPr>
              <w:t>bossman</w:t>
            </w:r>
            <w:proofErr w:type="spellEnd"/>
            <w:r w:rsidRPr="00C72C2D">
              <w:rPr>
                <w:rFonts w:ascii="Palatino Linotype" w:hAnsi="Palatino Linotype" w:cs="Arial"/>
                <w:color w:val="222222"/>
                <w:sz w:val="18"/>
                <w:szCs w:val="18"/>
                <w:shd w:val="clear" w:color="auto" w:fill="FFFFFF"/>
              </w:rPr>
              <w:t xml:space="preserve"> [is] gone." With the departure of the white men, the black people feel more human because they are no longer treated cruelly or belittled. It’s interesting that the passage implies that the black people of Eatonville can only live out their lives when they are away from white people and surrounded with their own community.</w:t>
            </w:r>
          </w:p>
        </w:tc>
        <w:bookmarkStart w:id="0" w:name="_GoBack"/>
        <w:bookmarkEnd w:id="0"/>
      </w:tr>
    </w:tbl>
    <w:p w:rsidR="00967479" w:rsidRPr="001A296C" w:rsidRDefault="00967479" w:rsidP="00967479">
      <w:pPr>
        <w:rPr>
          <w:rFonts w:ascii="Copperplate Gothic Bold" w:hAnsi="Copperplate Gothic Bold"/>
        </w:rPr>
      </w:pPr>
    </w:p>
    <w:sectPr w:rsidR="00967479" w:rsidRPr="001A296C" w:rsidSect="001A2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7EAC"/>
    <w:multiLevelType w:val="hybridMultilevel"/>
    <w:tmpl w:val="55FE548C"/>
    <w:lvl w:ilvl="0" w:tplc="F0F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12498B"/>
    <w:multiLevelType w:val="hybridMultilevel"/>
    <w:tmpl w:val="44A0F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85E9F"/>
    <w:multiLevelType w:val="hybridMultilevel"/>
    <w:tmpl w:val="2A708950"/>
    <w:lvl w:ilvl="0" w:tplc="0409000F">
      <w:start w:val="1"/>
      <w:numFmt w:val="decimal"/>
      <w:lvlText w:val="%1."/>
      <w:lvlJc w:val="left"/>
      <w:pPr>
        <w:ind w:left="720" w:hanging="360"/>
      </w:pPr>
      <w:rPr>
        <w:rFonts w:hint="default"/>
      </w:rPr>
    </w:lvl>
    <w:lvl w:ilvl="1" w:tplc="4C0CEFE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52A4A"/>
    <w:multiLevelType w:val="hybridMultilevel"/>
    <w:tmpl w:val="34D4F150"/>
    <w:lvl w:ilvl="0" w:tplc="FA123034">
      <w:start w:val="3"/>
      <w:numFmt w:val="lowerLetter"/>
      <w:lvlText w:val="%1."/>
      <w:lvlJc w:val="left"/>
      <w:pPr>
        <w:ind w:left="36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5EF77106"/>
    <w:multiLevelType w:val="hybridMultilevel"/>
    <w:tmpl w:val="83CEE88C"/>
    <w:lvl w:ilvl="0" w:tplc="4C0CEFE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901E5"/>
    <w:multiLevelType w:val="hybridMultilevel"/>
    <w:tmpl w:val="B2669F0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6C"/>
    <w:rsid w:val="001437C1"/>
    <w:rsid w:val="001A296C"/>
    <w:rsid w:val="0030369E"/>
    <w:rsid w:val="00336D8C"/>
    <w:rsid w:val="003E6971"/>
    <w:rsid w:val="00574649"/>
    <w:rsid w:val="00577B56"/>
    <w:rsid w:val="007944C2"/>
    <w:rsid w:val="00967479"/>
    <w:rsid w:val="00C72C2D"/>
    <w:rsid w:val="00EC7699"/>
    <w:rsid w:val="00ED64F3"/>
    <w:rsid w:val="00F20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6668"/>
  <w15:chartTrackingRefBased/>
  <w15:docId w15:val="{CB4DB00F-876F-43D9-AB94-BE5DD79F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296C"/>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96C"/>
    <w:rPr>
      <w:rFonts w:ascii="Verdana" w:eastAsia="Times New Roman" w:hAnsi="Verdana" w:cs="Times New Roman"/>
      <w:b/>
      <w:bCs/>
      <w:sz w:val="24"/>
      <w:szCs w:val="24"/>
    </w:rPr>
  </w:style>
  <w:style w:type="paragraph" w:styleId="ListParagraph">
    <w:name w:val="List Paragraph"/>
    <w:basedOn w:val="Normal"/>
    <w:uiPriority w:val="34"/>
    <w:qFormat/>
    <w:rsid w:val="001437C1"/>
    <w:pPr>
      <w:ind w:left="720"/>
      <w:contextualSpacing/>
    </w:pPr>
  </w:style>
  <w:style w:type="table" w:styleId="TableGrid">
    <w:name w:val="Table Grid"/>
    <w:basedOn w:val="TableNormal"/>
    <w:rsid w:val="001437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8</cp:revision>
  <dcterms:created xsi:type="dcterms:W3CDTF">2019-11-21T12:01:00Z</dcterms:created>
  <dcterms:modified xsi:type="dcterms:W3CDTF">2019-11-21T15:06:00Z</dcterms:modified>
</cp:coreProperties>
</file>